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B7431A" w:rsidRPr="00B7431A" w:rsidP="00B7431A" w14:paraId="47D7548F" w14:textId="77777777">
      <w:pPr>
        <w:spacing w:after="80"/>
        <w:contextualSpacing/>
        <w:jc w:val="both"/>
        <w:rPr>
          <w:b/>
          <w:color w:val="003D3B"/>
          <w:spacing w:val="-10"/>
          <w:kern w:val="28"/>
          <w:sz w:val="28"/>
          <w:szCs w:val="28"/>
          <w:lang w:val="en-GB" w:eastAsia="en-US"/>
          <w14:ligatures w14:val="standardContextual"/>
        </w:rPr>
      </w:pPr>
    </w:p>
    <w:p w:rsidR="00B7431A" w:rsidRPr="00B7431A" w:rsidP="00B7431A" w14:paraId="2AD3DD8C" w14:textId="77777777">
      <w:pPr>
        <w:spacing w:after="80"/>
        <w:contextualSpacing/>
        <w:jc w:val="both"/>
        <w:rPr>
          <w:b/>
          <w:color w:val="003D3B"/>
          <w:spacing w:val="-10"/>
          <w:kern w:val="28"/>
          <w:sz w:val="28"/>
          <w:szCs w:val="28"/>
          <w:lang w:val="en-GB" w:eastAsia="en-US"/>
          <w14:ligatures w14:val="standardContextual"/>
        </w:rPr>
      </w:pPr>
      <w:r w:rsidRPr="00B7431A">
        <w:rPr>
          <w:b/>
          <w:color w:val="003D3B"/>
          <w:spacing w:val="-10"/>
          <w:kern w:val="28"/>
          <w:sz w:val="28"/>
          <w:szCs w:val="28"/>
          <w:lang w:val="en-GB" w:eastAsia="en-US"/>
          <w14:ligatures w14:val="standardContextual"/>
        </w:rPr>
        <w:t>TRADE COMPLIANCE POLICY</w:t>
      </w:r>
    </w:p>
    <w:p w:rsidR="00B7431A" w:rsidRPr="00B7431A" w:rsidP="00B7431A" w14:paraId="1CE71768" w14:textId="77777777">
      <w:pPr>
        <w:spacing w:after="160"/>
        <w:jc w:val="both"/>
        <w:rPr>
          <w:rFonts w:eastAsia="Aptos"/>
          <w:b/>
          <w:szCs w:val="22"/>
          <w:lang w:val="en-GB" w:eastAsia="en-US"/>
          <w14:ligatures w14:val="standardContextual"/>
        </w:rPr>
      </w:pPr>
    </w:p>
    <w:p w:rsidR="00B7431A" w:rsidRPr="00B7431A" w:rsidP="00B7431A" w14:paraId="6879B88F" w14:textId="77777777">
      <w:pPr>
        <w:keepNext/>
        <w:keepLines/>
        <w:numPr>
          <w:ilvl w:val="0"/>
          <w:numId w:val="44"/>
        </w:numPr>
        <w:spacing w:after="160" w:line="259" w:lineRule="auto"/>
        <w:ind w:left="426" w:hanging="426"/>
        <w:jc w:val="both"/>
        <w:outlineLvl w:val="1"/>
        <w:rPr>
          <w:rFonts w:cs="Times New Roman"/>
          <w:b/>
          <w:color w:val="0F4761"/>
          <w:sz w:val="24"/>
          <w:szCs w:val="32"/>
          <w:lang w:val="en-GB" w:eastAsia="en-US"/>
          <w14:ligatures w14:val="standardContextual"/>
        </w:rPr>
      </w:pPr>
      <w:r w:rsidRPr="00B7431A">
        <w:rPr>
          <w:b/>
          <w:color w:val="0F4761"/>
          <w:sz w:val="24"/>
          <w:lang w:val="en-GB" w:eastAsia="en-US"/>
          <w14:ligatures w14:val="standardContextual"/>
        </w:rPr>
        <w:t>Introduction</w:t>
      </w:r>
    </w:p>
    <w:p w:rsidR="00B7431A" w:rsidRPr="00B7431A" w:rsidP="00B7431A" w14:paraId="20AA469A" w14:textId="77777777">
      <w:pPr>
        <w:spacing w:after="160"/>
        <w:jc w:val="both"/>
        <w:rPr>
          <w:rFonts w:eastAsia="Aptos"/>
          <w:szCs w:val="22"/>
          <w:lang w:val="en-GB" w:eastAsia="en-US"/>
          <w14:ligatures w14:val="standardContextual"/>
        </w:rPr>
      </w:pPr>
    </w:p>
    <w:p w:rsidR="00B7431A" w:rsidRPr="00B7431A" w:rsidP="00B7431A" w14:paraId="3F635710" w14:textId="77777777">
      <w:pPr>
        <w:spacing w:after="160"/>
        <w:jc w:val="both"/>
        <w:rPr>
          <w:rFonts w:eastAsia="Aptos"/>
          <w:szCs w:val="22"/>
          <w:lang w:val="en-GB" w:eastAsia="en-US"/>
          <w14:ligatures w14:val="standardContextual"/>
        </w:rPr>
      </w:pPr>
      <w:r w:rsidRPr="00B7431A">
        <w:rPr>
          <w:rFonts w:eastAsia="Aptos"/>
          <w:szCs w:val="22"/>
          <w:lang w:val="en-GB" w:eastAsia="en-US"/>
          <w14:ligatures w14:val="standardContextual"/>
        </w:rPr>
        <w:t>According to EU sanction legislation, INNA shall conduct sanction screenings about its business partners.</w:t>
      </w:r>
    </w:p>
    <w:p w:rsidR="00B7431A" w:rsidRPr="00B7431A" w:rsidP="00B7431A" w14:paraId="610FE7D6" w14:textId="77777777">
      <w:pPr>
        <w:spacing w:after="160"/>
        <w:jc w:val="both"/>
        <w:rPr>
          <w:rFonts w:eastAsia="Aptos"/>
          <w:szCs w:val="22"/>
          <w:lang w:val="en-GB" w:eastAsia="en-US"/>
          <w14:ligatures w14:val="standardContextual"/>
        </w:rPr>
      </w:pPr>
      <w:r w:rsidRPr="00B7431A">
        <w:rPr>
          <w:rFonts w:eastAsia="Aptos"/>
          <w:szCs w:val="22"/>
          <w:lang w:val="en-GB" w:eastAsia="en-US"/>
          <w14:ligatures w14:val="standardContextual"/>
        </w:rPr>
        <w:t>To the extent Money Laundering Act applies to INNA, we shall, in addition to sanction screenings, know our customers and their business (“KYC-obligation”). This KYC-obligation is much broader than sanction screening obligation. According to the Money Laundering Act, INNA is obliged to know its customers and their business when we provide brokerage, accounting, enterprise and asset management services to our customers and when we provide insurance services, acting as insurance broker.</w:t>
      </w:r>
    </w:p>
    <w:p w:rsidR="00B7431A" w:rsidRPr="00B7431A" w:rsidP="00B7431A" w14:paraId="3A3DF394" w14:textId="77777777">
      <w:pPr>
        <w:spacing w:after="160"/>
        <w:jc w:val="both"/>
        <w:rPr>
          <w:rFonts w:eastAsia="Aptos"/>
          <w:szCs w:val="22"/>
          <w:lang w:val="en-GB" w:eastAsia="en-US"/>
          <w14:ligatures w14:val="standardContextual"/>
        </w:rPr>
      </w:pPr>
      <w:r w:rsidRPr="00B7431A">
        <w:rPr>
          <w:rFonts w:eastAsia="Aptos"/>
          <w:szCs w:val="22"/>
          <w:lang w:val="en-GB" w:eastAsia="en-US"/>
          <w14:ligatures w14:val="standardContextual"/>
        </w:rPr>
        <w:t>Trade sanctions refer to laws and regulations imposed by countries that restrict dealings with targeted individuals, entities, and governments, or restrict trade involving certain controlled goods or services. Violations of sanctions can result in substantial monetary penalties or imprisonment as well as significant reputational damage for INNA.</w:t>
      </w:r>
    </w:p>
    <w:p w:rsidR="00B7431A" w:rsidRPr="00B7431A" w:rsidP="00B7431A" w14:paraId="75B651C0" w14:textId="2C82820E">
      <w:pPr>
        <w:spacing w:after="160"/>
        <w:jc w:val="both"/>
        <w:rPr>
          <w:rFonts w:eastAsia="Aptos"/>
          <w:szCs w:val="22"/>
          <w:lang w:val="en-GB" w:eastAsia="en-US"/>
          <w14:ligatures w14:val="standardContextual"/>
        </w:rPr>
      </w:pPr>
      <w:r w:rsidRPr="00B7431A">
        <w:rPr>
          <w:rFonts w:eastAsia="Aptos"/>
          <w:szCs w:val="22"/>
          <w:lang w:val="en-GB" w:eastAsia="en-US"/>
          <w14:ligatures w14:val="standardContextual"/>
        </w:rPr>
        <w:t>Code of Conduct Policy is INNA´s top policy, which collects all other policies together. Different policies are described shortly in our Code of Conduct Policy with references made to each specific policy.</w:t>
      </w:r>
    </w:p>
    <w:p w:rsidR="00B7431A" w:rsidRPr="00B7431A" w:rsidP="00B7431A" w14:paraId="6E6B1C8C" w14:textId="77777777">
      <w:pPr>
        <w:spacing w:after="160"/>
        <w:jc w:val="both"/>
        <w:rPr>
          <w:rFonts w:eastAsia="Aptos"/>
          <w:szCs w:val="22"/>
          <w:lang w:val="en-GB" w:eastAsia="en-US"/>
          <w14:ligatures w14:val="standardContextual"/>
        </w:rPr>
      </w:pPr>
      <w:r w:rsidRPr="00B7431A">
        <w:rPr>
          <w:rFonts w:eastAsia="Aptos"/>
          <w:szCs w:val="22"/>
          <w:lang w:val="en-GB" w:eastAsia="en-US"/>
          <w14:ligatures w14:val="standardContextual"/>
        </w:rPr>
        <w:t xml:space="preserve">This Trade Compliance Policy applies to all employees and managers of companies belonging to INNA Group, which are INNA Finland, INNA Sweden and INNA Denmark (“INNA” or “INNA Group”) and Boards of Directors of INNA companies. </w:t>
      </w:r>
    </w:p>
    <w:p w:rsidR="00B7431A" w:rsidRPr="00B7431A" w:rsidP="00B7431A" w14:paraId="1E3312FC" w14:textId="77777777">
      <w:pPr>
        <w:spacing w:after="160"/>
        <w:jc w:val="both"/>
        <w:rPr>
          <w:rFonts w:eastAsia="Aptos"/>
          <w:szCs w:val="22"/>
          <w:lang w:val="en-GB" w:eastAsia="en-US"/>
          <w14:ligatures w14:val="standardContextual"/>
        </w:rPr>
      </w:pPr>
      <w:r w:rsidRPr="00B7431A">
        <w:rPr>
          <w:rFonts w:eastAsia="Aptos"/>
          <w:szCs w:val="22"/>
          <w:lang w:val="en-GB" w:eastAsia="en-US"/>
          <w14:ligatures w14:val="standardContextual"/>
        </w:rPr>
        <w:t>INNA has detailed internal instructions and processes for its personnel on how sanctions screenings and KYC-obligations shall be conducted</w:t>
      </w:r>
    </w:p>
    <w:p w:rsidR="00B7431A" w:rsidRPr="00B7431A" w:rsidP="00B7431A" w14:paraId="286C0538" w14:textId="77777777">
      <w:pPr>
        <w:spacing w:after="160"/>
        <w:jc w:val="both"/>
        <w:rPr>
          <w:rFonts w:eastAsia="Aptos"/>
          <w:szCs w:val="22"/>
          <w:lang w:val="en-GB" w:eastAsia="en-US"/>
          <w14:ligatures w14:val="standardContextual"/>
        </w:rPr>
      </w:pPr>
      <w:r w:rsidRPr="00B7431A">
        <w:rPr>
          <w:rFonts w:eastAsia="Aptos"/>
          <w:szCs w:val="22"/>
          <w:lang w:val="en-GB" w:eastAsia="en-US"/>
          <w14:ligatures w14:val="standardContextual"/>
        </w:rPr>
        <w:t>INNA has also internal processes for its employees regarding trade compliance. In case of any discrepancies between this Policy and other instructions, this Policy prevails.</w:t>
      </w:r>
    </w:p>
    <w:p w:rsidR="00B7431A" w:rsidRPr="00B7431A" w:rsidP="00B7431A" w14:paraId="53110D9C" w14:textId="77777777">
      <w:pPr>
        <w:spacing w:after="160"/>
        <w:jc w:val="both"/>
        <w:rPr>
          <w:rFonts w:eastAsia="Aptos"/>
          <w:szCs w:val="22"/>
          <w:lang w:val="en-GB" w:eastAsia="en-US"/>
          <w14:ligatures w14:val="standardContextual"/>
        </w:rPr>
      </w:pPr>
    </w:p>
    <w:p w:rsidR="00B7431A" w:rsidRPr="00B7431A" w:rsidP="00B7431A" w14:paraId="5043F276" w14:textId="77777777">
      <w:pPr>
        <w:keepNext/>
        <w:keepLines/>
        <w:numPr>
          <w:ilvl w:val="0"/>
          <w:numId w:val="44"/>
        </w:numPr>
        <w:spacing w:after="160" w:line="259" w:lineRule="auto"/>
        <w:ind w:left="426" w:hanging="426"/>
        <w:jc w:val="both"/>
        <w:outlineLvl w:val="1"/>
        <w:rPr>
          <w:rFonts w:cs="Times New Roman"/>
          <w:b/>
          <w:color w:val="0F4761"/>
          <w:sz w:val="24"/>
          <w:szCs w:val="32"/>
          <w:lang w:val="en-GB" w:eastAsia="en-US"/>
          <w14:ligatures w14:val="standardContextual"/>
        </w:rPr>
      </w:pPr>
      <w:r w:rsidRPr="00B7431A">
        <w:rPr>
          <w:rFonts w:cs="Times New Roman"/>
          <w:b/>
          <w:color w:val="0F4761"/>
          <w:sz w:val="24"/>
          <w:szCs w:val="32"/>
          <w:lang w:val="en-GB" w:eastAsia="en-US"/>
          <w14:ligatures w14:val="standardContextual"/>
        </w:rPr>
        <w:t>Trade sanctions</w:t>
      </w:r>
    </w:p>
    <w:p w:rsidR="00B7431A" w:rsidRPr="00B7431A" w:rsidP="00B7431A" w14:paraId="59B97C12" w14:textId="77777777">
      <w:pPr>
        <w:spacing w:after="160"/>
        <w:jc w:val="both"/>
        <w:rPr>
          <w:rFonts w:eastAsia="Aptos"/>
          <w:szCs w:val="22"/>
          <w:lang w:val="en-GB" w:eastAsia="en-US"/>
          <w14:ligatures w14:val="standardContextual"/>
        </w:rPr>
      </w:pPr>
    </w:p>
    <w:p w:rsidR="00B7431A" w:rsidRPr="00B7431A" w:rsidP="00B7431A" w14:paraId="3BD9AB43" w14:textId="77777777">
      <w:pPr>
        <w:spacing w:after="160"/>
        <w:jc w:val="both"/>
        <w:rPr>
          <w:rFonts w:eastAsia="Aptos"/>
          <w:szCs w:val="22"/>
          <w:lang w:val="en-GB" w:eastAsia="en-US"/>
          <w14:ligatures w14:val="standardContextual"/>
        </w:rPr>
      </w:pPr>
      <w:r w:rsidRPr="00B7431A">
        <w:rPr>
          <w:rFonts w:eastAsia="Aptos"/>
          <w:szCs w:val="22"/>
          <w:lang w:val="en-GB" w:eastAsia="en-US"/>
          <w14:ligatures w14:val="standardContextual"/>
        </w:rPr>
        <w:t>The UN, the EU, and the US, as well as several other jurisdictions, frequently use trade sanctions to advance national security and foreign policy interests. Sanctions prohibit or restrict direct and indirect trade with individuals, companies or organizations targeted or designated under trade sanctions (“Listed Persons”, each a “Listed Person”), or trade in certain goods or services with a sanctioned country or region. INNA shall not conduct any trade with Listed Persons.</w:t>
      </w:r>
    </w:p>
    <w:p w:rsidR="00B7431A" w:rsidRPr="00B7431A" w:rsidP="00B7431A" w14:paraId="288BF252" w14:textId="77777777">
      <w:pPr>
        <w:spacing w:after="160"/>
        <w:jc w:val="both"/>
        <w:rPr>
          <w:rFonts w:eastAsia="Aptos"/>
          <w:szCs w:val="22"/>
          <w:lang w:val="en-GB" w:eastAsia="en-US" w:bidi="en-US"/>
          <w14:ligatures w14:val="standardContextual"/>
        </w:rPr>
      </w:pPr>
      <w:r w:rsidRPr="00B7431A">
        <w:rPr>
          <w:rFonts w:eastAsia="Aptos"/>
          <w:szCs w:val="22"/>
          <w:lang w:val="en-GB" w:eastAsia="en-US"/>
          <w14:ligatures w14:val="standardContextual"/>
        </w:rPr>
        <w:t xml:space="preserve">INNA is consequently required to conduct sanction screenings of its business partners. We have purchased a service from an external service provider, by which we can do sanction screenings and fulfil our KYC obligations. The service covers sanction checks of UN, EU, UK, US and national sanction lists in countries where INNA operates. </w:t>
      </w:r>
    </w:p>
    <w:p w:rsidR="00B7431A" w:rsidRPr="00B7431A" w:rsidP="00B7431A" w14:paraId="1BDC0A7C" w14:textId="77777777">
      <w:pPr>
        <w:spacing w:after="160"/>
        <w:jc w:val="both"/>
        <w:rPr>
          <w:rFonts w:eastAsia="Aptos"/>
          <w:szCs w:val="22"/>
          <w:lang w:val="en-GB" w:eastAsia="en-US"/>
          <w14:ligatures w14:val="standardContextual"/>
        </w:rPr>
      </w:pPr>
      <w:r w:rsidRPr="00B7431A">
        <w:rPr>
          <w:rFonts w:eastAsia="Aptos"/>
          <w:szCs w:val="22"/>
          <w:lang w:val="en-GB" w:eastAsia="en-US"/>
          <w14:ligatures w14:val="standardContextual"/>
        </w:rPr>
        <w:t>INNA conducts comprehensive sanctions screening of all business partners, their representatives, and beneficial owners both proactively and reactively:</w:t>
      </w:r>
    </w:p>
    <w:p w:rsidR="00B7431A" w:rsidRPr="00B7431A" w:rsidP="00B7431A" w14:paraId="638AF097" w14:textId="77777777">
      <w:pPr>
        <w:spacing w:after="160"/>
        <w:ind w:left="1304"/>
        <w:jc w:val="both"/>
        <w:rPr>
          <w:rFonts w:eastAsia="Aptos"/>
          <w:szCs w:val="22"/>
          <w:lang w:val="en-GB" w:eastAsia="en-US"/>
          <w14:ligatures w14:val="standardContextual"/>
        </w:rPr>
      </w:pPr>
      <w:r w:rsidRPr="00B7431A">
        <w:rPr>
          <w:rFonts w:eastAsia="Aptos"/>
          <w:szCs w:val="22"/>
          <w:lang w:val="en-GB" w:eastAsia="en-US"/>
          <w14:ligatures w14:val="standardContextual"/>
        </w:rPr>
        <w:t xml:space="preserve">• </w:t>
      </w:r>
      <w:r w:rsidRPr="00B7431A">
        <w:rPr>
          <w:rFonts w:eastAsia="Aptos"/>
          <w:b/>
          <w:bCs/>
          <w:szCs w:val="22"/>
          <w:lang w:val="en-GB" w:eastAsia="en-US"/>
          <w14:ligatures w14:val="standardContextual"/>
        </w:rPr>
        <w:t>Initial Screening</w:t>
      </w:r>
      <w:r w:rsidRPr="00B7431A">
        <w:rPr>
          <w:rFonts w:eastAsia="Aptos"/>
          <w:szCs w:val="22"/>
          <w:lang w:val="en-GB" w:eastAsia="en-US"/>
          <w14:ligatures w14:val="standardContextual"/>
        </w:rPr>
        <w:t xml:space="preserve">: All new business partners undergo sanctions screening before establishing any business relationship </w:t>
      </w:r>
    </w:p>
    <w:p w:rsidR="00B7431A" w:rsidRPr="00B7431A" w:rsidP="00B7431A" w14:paraId="643CBDE0" w14:textId="77777777">
      <w:pPr>
        <w:spacing w:after="160"/>
        <w:ind w:left="1304"/>
        <w:jc w:val="both"/>
        <w:rPr>
          <w:rFonts w:eastAsia="Aptos"/>
          <w:szCs w:val="22"/>
          <w:lang w:val="en-GB" w:eastAsia="en-US"/>
          <w14:ligatures w14:val="standardContextual"/>
        </w:rPr>
      </w:pPr>
      <w:r w:rsidRPr="00B7431A">
        <w:rPr>
          <w:rFonts w:eastAsia="Aptos"/>
          <w:szCs w:val="22"/>
          <w:lang w:val="en-GB" w:eastAsia="en-US"/>
          <w14:ligatures w14:val="standardContextual"/>
        </w:rPr>
        <w:t xml:space="preserve">• </w:t>
      </w:r>
      <w:r w:rsidRPr="00B7431A">
        <w:rPr>
          <w:rFonts w:eastAsia="Aptos"/>
          <w:b/>
          <w:bCs/>
          <w:szCs w:val="22"/>
          <w:lang w:val="en-GB" w:eastAsia="en-US"/>
          <w14:ligatures w14:val="standardContextual"/>
        </w:rPr>
        <w:t>Ongoing Monitoring</w:t>
      </w:r>
      <w:r w:rsidRPr="00B7431A">
        <w:rPr>
          <w:rFonts w:eastAsia="Aptos"/>
          <w:szCs w:val="22"/>
          <w:lang w:val="en-GB" w:eastAsia="en-US"/>
          <w14:ligatures w14:val="standardContextual"/>
        </w:rPr>
        <w:t xml:space="preserve">: Existing business partners are screened at least annually and immediately when sanctions or freezing lists are updated </w:t>
      </w:r>
    </w:p>
    <w:p w:rsidR="00B7431A" w:rsidRPr="00B7431A" w:rsidP="00B7431A" w14:paraId="6EB3E0A4" w14:textId="2ED656E2">
      <w:pPr>
        <w:spacing w:after="160"/>
        <w:jc w:val="both"/>
        <w:rPr>
          <w:rFonts w:eastAsia="Aptos"/>
          <w:szCs w:val="22"/>
          <w:lang w:val="en-GB" w:eastAsia="en-US"/>
          <w14:ligatures w14:val="standardContextual"/>
        </w:rPr>
      </w:pPr>
      <w:r w:rsidRPr="00B7431A">
        <w:rPr>
          <w:rFonts w:eastAsia="Aptos"/>
          <w:szCs w:val="22"/>
          <w:lang w:val="en-GB" w:eastAsia="en-US"/>
          <w14:ligatures w14:val="standardContextual"/>
        </w:rPr>
        <w:t>Any relevant matches trigger immediate escalation for enhanced review before proceeding with the relationship.</w:t>
      </w:r>
    </w:p>
    <w:p w:rsidR="00B7431A" w:rsidRPr="00B7431A" w:rsidP="00B7431A" w14:paraId="05BDD4FD" w14:textId="77777777">
      <w:pPr>
        <w:spacing w:after="160"/>
        <w:jc w:val="both"/>
        <w:rPr>
          <w:rFonts w:eastAsia="Aptos"/>
          <w:szCs w:val="22"/>
          <w:lang w:val="en-GB" w:eastAsia="en-US"/>
          <w14:ligatures w14:val="standardContextual"/>
        </w:rPr>
      </w:pPr>
      <w:r w:rsidRPr="00B7431A">
        <w:rPr>
          <w:rFonts w:eastAsia="Aptos"/>
          <w:szCs w:val="22"/>
          <w:lang w:val="en-GB" w:eastAsia="en-US"/>
          <w14:ligatures w14:val="standardContextual"/>
        </w:rPr>
        <w:t>The US sanctions are often more far-reaching than the EU rules. As for sanctions, US sanctions can be divided into primary and secondary sanctions. Generally, primary sanctions apply only to US persons (i.e. US citizens, companies organized under the laws of the US, and non-US persons located in the territory of the US). In certain cases, however, even non-US persons can violate US sanctions if there is a US nexus. Examples of this include conducting transactions in US dollars.</w:t>
      </w:r>
    </w:p>
    <w:p w:rsidR="00B7431A" w:rsidRPr="00B7431A" w:rsidP="00B7431A" w14:paraId="5EA0A67B" w14:textId="77777777">
      <w:pPr>
        <w:spacing w:after="160"/>
        <w:jc w:val="both"/>
        <w:rPr>
          <w:rFonts w:eastAsia="Aptos"/>
          <w:szCs w:val="22"/>
          <w:lang w:val="en-GB" w:eastAsia="en-US"/>
          <w14:ligatures w14:val="standardContextual"/>
        </w:rPr>
      </w:pPr>
      <w:r w:rsidRPr="00B7431A">
        <w:rPr>
          <w:rFonts w:eastAsia="Aptos"/>
          <w:szCs w:val="22"/>
          <w:lang w:val="en-GB" w:eastAsia="en-US"/>
          <w14:ligatures w14:val="standardContextual"/>
        </w:rPr>
        <w:t>In certain US sanctions programs, the US employs secondary sanctions, which aim to influence the behavior of non-US companies acting outside of US jurisdiction. In the worst case, engaging in activities covered by US secondary sanctions could result in INNA being blacklisted, i.e. losing access to the US market and having its assets in the US frozen.</w:t>
      </w:r>
    </w:p>
    <w:p w:rsidR="00B7431A" w:rsidRPr="00B7431A" w:rsidP="00B7431A" w14:paraId="541F9BD7" w14:textId="77777777">
      <w:pPr>
        <w:spacing w:after="160"/>
        <w:jc w:val="both"/>
        <w:rPr>
          <w:rFonts w:eastAsia="Aptos"/>
          <w:szCs w:val="22"/>
          <w:lang w:val="en-GB" w:eastAsia="en-US"/>
          <w14:ligatures w14:val="standardContextual"/>
        </w:rPr>
      </w:pPr>
      <w:r w:rsidRPr="00B7431A">
        <w:rPr>
          <w:rFonts w:eastAsia="Aptos"/>
          <w:szCs w:val="22"/>
          <w:lang w:val="en-GB" w:eastAsia="en-US"/>
          <w14:ligatures w14:val="standardContextual"/>
        </w:rPr>
        <w:t>It shall be noted that indirect business may also be considered prohibited under trade sanctions. It may be prohibited to export related services to a specific country. It is noteworthy that such indirect business may sometimes be difficult to detect. Complying with such prohibitions therefore requires careful due diligence and imposing of certain contractual restrictions or verifications.</w:t>
      </w:r>
    </w:p>
    <w:p w:rsidR="00B7431A" w:rsidRPr="00B7431A" w:rsidP="00B7431A" w14:paraId="5BAA7B2B" w14:textId="77777777">
      <w:pPr>
        <w:spacing w:after="160"/>
        <w:jc w:val="both"/>
        <w:rPr>
          <w:rFonts w:eastAsia="Aptos"/>
          <w:szCs w:val="22"/>
          <w:lang w:val="en-GB" w:eastAsia="en-US"/>
          <w14:ligatures w14:val="standardContextual"/>
        </w:rPr>
      </w:pPr>
      <w:r w:rsidRPr="00B7431A">
        <w:rPr>
          <w:rFonts w:eastAsia="Aptos"/>
          <w:szCs w:val="22"/>
          <w:lang w:val="en-GB" w:eastAsia="en-US"/>
          <w14:ligatures w14:val="standardContextual"/>
        </w:rPr>
        <w:t>A risk-based approach shall therefore be taken to avoid indirect transactions with Listed Persons, or in any other way in violation of sanctions, such as sanctions related to an item or services.</w:t>
      </w:r>
    </w:p>
    <w:p w:rsidR="00B7431A" w:rsidRPr="00B7431A" w:rsidP="00B7431A" w14:paraId="36440853" w14:textId="77777777">
      <w:pPr>
        <w:spacing w:after="160"/>
        <w:jc w:val="both"/>
        <w:rPr>
          <w:rFonts w:eastAsia="Aptos"/>
          <w:szCs w:val="22"/>
          <w:lang w:val="en-GB" w:eastAsia="en-US"/>
          <w14:ligatures w14:val="standardContextual"/>
        </w:rPr>
      </w:pPr>
    </w:p>
    <w:p w:rsidR="00B7431A" w:rsidRPr="00B7431A" w:rsidP="00B7431A" w14:paraId="6B001A9D" w14:textId="77777777">
      <w:pPr>
        <w:keepNext/>
        <w:keepLines/>
        <w:numPr>
          <w:ilvl w:val="0"/>
          <w:numId w:val="44"/>
        </w:numPr>
        <w:spacing w:after="160" w:line="259" w:lineRule="auto"/>
        <w:ind w:left="426" w:hanging="426"/>
        <w:jc w:val="both"/>
        <w:outlineLvl w:val="1"/>
        <w:rPr>
          <w:rFonts w:cs="Times New Roman"/>
          <w:b/>
          <w:color w:val="0F4761"/>
          <w:sz w:val="24"/>
          <w:szCs w:val="32"/>
          <w:lang w:val="en-GB" w:eastAsia="en-US"/>
          <w14:ligatures w14:val="standardContextual"/>
        </w:rPr>
      </w:pPr>
      <w:r w:rsidRPr="00B7431A">
        <w:rPr>
          <w:rFonts w:cs="Times New Roman"/>
          <w:b/>
          <w:color w:val="0F4761"/>
          <w:sz w:val="24"/>
          <w:szCs w:val="32"/>
          <w:lang w:val="en-GB" w:eastAsia="en-US"/>
          <w14:ligatures w14:val="standardContextual"/>
        </w:rPr>
        <w:t>Asset Freezing and Transfer Prohibitions</w:t>
      </w:r>
    </w:p>
    <w:p w:rsidR="00B7431A" w:rsidRPr="00B7431A" w:rsidP="00B7431A" w14:paraId="5A954591" w14:textId="77777777">
      <w:pPr>
        <w:spacing w:after="160"/>
        <w:jc w:val="both"/>
        <w:rPr>
          <w:rFonts w:eastAsia="Aptos"/>
          <w:szCs w:val="22"/>
          <w:lang w:val="en-GB" w:eastAsia="en-US"/>
          <w14:ligatures w14:val="standardContextual"/>
        </w:rPr>
      </w:pPr>
      <w:r w:rsidRPr="00B7431A">
        <w:rPr>
          <w:rFonts w:eastAsia="Aptos"/>
          <w:szCs w:val="22"/>
          <w:lang w:val="en-GB" w:eastAsia="en-US"/>
          <w14:ligatures w14:val="standardContextual"/>
        </w:rPr>
        <w:t>All assets of persons, entities and groups subject to EU regulations and national freezing decisions must be frozen immediately upon designation. In addition, the transfer of funds and other economic resources to such entities, directly or indirectly, shall be prohibited.</w:t>
      </w:r>
    </w:p>
    <w:p w:rsidR="00B7431A" w:rsidRPr="00B7431A" w:rsidP="00B7431A" w14:paraId="2B9AA61E" w14:textId="77777777">
      <w:pPr>
        <w:spacing w:after="160"/>
        <w:jc w:val="both"/>
        <w:rPr>
          <w:rFonts w:eastAsia="Aptos"/>
          <w:szCs w:val="22"/>
          <w:lang w:val="en-GB" w:eastAsia="en-US"/>
          <w14:ligatures w14:val="standardContextual"/>
        </w:rPr>
      </w:pPr>
      <w:r w:rsidRPr="00B7431A">
        <w:rPr>
          <w:rFonts w:eastAsia="Aptos"/>
          <w:szCs w:val="22"/>
          <w:lang w:val="en-GB" w:eastAsia="en-US"/>
          <w14:ligatures w14:val="standardContextual"/>
        </w:rPr>
        <w:t>INNA must take the necessary measures for regulations and freezing orders directly on the basis of the regulations themselves without any specific notification or order from authorities. Breaches of these obligations are punishable under applicable law.</w:t>
      </w:r>
    </w:p>
    <w:p w:rsidR="00B7431A" w:rsidRPr="00B7431A" w:rsidP="00B7431A" w14:paraId="66E38997" w14:textId="77777777">
      <w:pPr>
        <w:spacing w:after="160"/>
        <w:jc w:val="both"/>
        <w:rPr>
          <w:rFonts w:eastAsia="Aptos"/>
          <w:szCs w:val="22"/>
          <w:lang w:val="en-GB" w:eastAsia="en-US"/>
          <w14:ligatures w14:val="standardContextual"/>
        </w:rPr>
      </w:pPr>
      <w:r w:rsidRPr="00B7431A">
        <w:rPr>
          <w:rFonts w:eastAsia="Aptos"/>
          <w:szCs w:val="22"/>
          <w:lang w:val="en-GB" w:eastAsia="en-US"/>
          <w14:ligatures w14:val="standardContextual"/>
        </w:rPr>
        <w:t>In principle, the entire property of a designated person is covered by the freezing, meaning that such property may not be released or transferred. Asset freezing remains in force until the UN Security Council, EU institutions, or national authorities change or reverse their decisions.</w:t>
      </w:r>
    </w:p>
    <w:p w:rsidR="00B7431A" w:rsidRPr="00B7431A" w:rsidP="00B7431A" w14:paraId="422244A4" w14:textId="77777777">
      <w:pPr>
        <w:spacing w:after="160"/>
        <w:jc w:val="both"/>
        <w:rPr>
          <w:rFonts w:eastAsia="Aptos"/>
          <w:szCs w:val="22"/>
          <w:lang w:val="en-GB" w:eastAsia="en-US"/>
          <w14:ligatures w14:val="standardContextual"/>
        </w:rPr>
      </w:pPr>
    </w:p>
    <w:p w:rsidR="00B7431A" w:rsidRPr="00B7431A" w:rsidP="00B7431A" w14:paraId="37B018CD" w14:textId="77777777">
      <w:pPr>
        <w:keepNext/>
        <w:keepLines/>
        <w:numPr>
          <w:ilvl w:val="0"/>
          <w:numId w:val="44"/>
        </w:numPr>
        <w:spacing w:after="160" w:line="259" w:lineRule="auto"/>
        <w:ind w:left="426" w:hanging="426"/>
        <w:jc w:val="both"/>
        <w:outlineLvl w:val="1"/>
        <w:rPr>
          <w:rFonts w:cs="Times New Roman"/>
          <w:b/>
          <w:color w:val="0F4761"/>
          <w:sz w:val="24"/>
          <w:szCs w:val="32"/>
          <w:lang w:val="en-GB" w:eastAsia="en-US"/>
          <w14:ligatures w14:val="standardContextual"/>
        </w:rPr>
      </w:pPr>
      <w:r w:rsidRPr="00B7431A">
        <w:rPr>
          <w:rFonts w:cs="Times New Roman"/>
          <w:b/>
          <w:color w:val="0F4761"/>
          <w:sz w:val="24"/>
          <w:szCs w:val="32"/>
          <w:lang w:val="en-GB" w:eastAsia="en-US"/>
          <w14:ligatures w14:val="standardContextual"/>
        </w:rPr>
        <w:t>Risk mitigation</w:t>
      </w:r>
    </w:p>
    <w:p w:rsidR="00B7431A" w:rsidP="00B7431A" w14:paraId="13FE3776" w14:textId="77777777">
      <w:pPr>
        <w:spacing w:after="160"/>
        <w:jc w:val="both"/>
        <w:rPr>
          <w:rFonts w:eastAsia="Aptos"/>
          <w:szCs w:val="22"/>
          <w:lang w:val="en-GB" w:eastAsia="en-US"/>
          <w14:ligatures w14:val="standardContextual"/>
        </w:rPr>
      </w:pPr>
      <w:r w:rsidRPr="00B7431A">
        <w:rPr>
          <w:rFonts w:eastAsia="Aptos"/>
          <w:szCs w:val="22"/>
          <w:lang w:val="en-GB" w:eastAsia="en-US"/>
          <w14:ligatures w14:val="standardContextual"/>
        </w:rPr>
        <w:t>Risk assessments, due diligence and contractual undertakings can be used to help mitigate trade sanction risks in relation to customers, suppliers and other business partners.</w:t>
      </w:r>
    </w:p>
    <w:p w:rsidR="0048324C" w:rsidRPr="00B7431A" w:rsidP="00B7431A" w14:paraId="69A19177" w14:textId="77777777">
      <w:pPr>
        <w:spacing w:after="160"/>
        <w:jc w:val="both"/>
        <w:rPr>
          <w:rFonts w:eastAsia="Aptos"/>
          <w:szCs w:val="22"/>
          <w:lang w:val="en-GB" w:eastAsia="en-US"/>
          <w14:ligatures w14:val="standardContextual"/>
        </w:rPr>
      </w:pPr>
    </w:p>
    <w:p w:rsidR="00B7431A" w:rsidRPr="00B7431A" w:rsidP="002571D3" w14:paraId="1AA27386" w14:textId="77777777">
      <w:pPr>
        <w:keepNext/>
        <w:keepLines/>
        <w:numPr>
          <w:ilvl w:val="1"/>
          <w:numId w:val="44"/>
        </w:numPr>
        <w:spacing w:after="160" w:line="259" w:lineRule="auto"/>
        <w:outlineLvl w:val="1"/>
        <w:rPr>
          <w:rFonts w:cs="Times New Roman"/>
          <w:b/>
          <w:color w:val="0F4761"/>
          <w:szCs w:val="28"/>
          <w:lang w:val="en-GB" w:eastAsia="en-US"/>
          <w14:ligatures w14:val="standardContextual"/>
        </w:rPr>
      </w:pPr>
      <w:r w:rsidRPr="002571D3">
        <w:rPr>
          <w:rFonts w:cs="Times New Roman"/>
          <w:b/>
          <w:color w:val="0F4761"/>
          <w:sz w:val="24"/>
          <w:szCs w:val="32"/>
          <w:lang w:val="en-GB" w:eastAsia="en-US"/>
          <w14:ligatures w14:val="standardContextual"/>
        </w:rPr>
        <w:t>Risk assessments</w:t>
      </w:r>
      <w:r w:rsidRPr="00B7431A">
        <w:rPr>
          <w:rFonts w:cs="Times New Roman"/>
          <w:b/>
          <w:color w:val="0F4761"/>
          <w:szCs w:val="28"/>
          <w:lang w:val="en-GB" w:eastAsia="en-US"/>
          <w14:ligatures w14:val="standardContextual"/>
        </w:rPr>
        <w:br/>
      </w:r>
    </w:p>
    <w:p w:rsidR="00B7431A" w:rsidRPr="00B7431A" w:rsidP="00B7431A" w14:paraId="6536A45C" w14:textId="4446C562">
      <w:pPr>
        <w:spacing w:after="160" w:line="259" w:lineRule="auto"/>
        <w:jc w:val="both"/>
        <w:rPr>
          <w:rFonts w:eastAsia="Aptos"/>
          <w:szCs w:val="22"/>
          <w:lang w:val="en-GB" w:eastAsia="en-US"/>
          <w14:ligatures w14:val="standardContextual"/>
        </w:rPr>
      </w:pPr>
      <w:r w:rsidRPr="00B7431A">
        <w:rPr>
          <w:rFonts w:eastAsia="Aptos"/>
          <w:szCs w:val="22"/>
          <w:lang w:val="en-GB" w:eastAsia="en-US"/>
          <w14:ligatures w14:val="standardContextual"/>
        </w:rPr>
        <w:t xml:space="preserve">According to INNA´s risk management policy, INNA shall regularly perform risk assessments of its operations and strategies. According to the Money Laundering Act, INNA is obliged to keep a risk assessment. INNA conducts a regular risk assessment to identify and analyse potential risks concerning money laundering, terrorism financing, and trade sanctions violations. </w:t>
      </w:r>
    </w:p>
    <w:p w:rsidR="00B7431A" w:rsidRPr="00B7431A" w:rsidP="00B7431A" w14:paraId="7C4C3E9A" w14:textId="77777777">
      <w:pPr>
        <w:spacing w:after="160" w:line="259" w:lineRule="auto"/>
        <w:jc w:val="both"/>
        <w:rPr>
          <w:rFonts w:eastAsia="Aptos"/>
          <w:szCs w:val="22"/>
          <w:lang w:val="en-GB" w:eastAsia="en-US"/>
          <w14:ligatures w14:val="standardContextual"/>
        </w:rPr>
      </w:pPr>
      <w:r w:rsidRPr="00B7431A">
        <w:rPr>
          <w:rFonts w:eastAsia="Aptos"/>
          <w:szCs w:val="22"/>
          <w:lang w:val="en-GB" w:eastAsia="en-US"/>
          <w14:ligatures w14:val="standardContextual"/>
        </w:rPr>
        <w:t xml:space="preserve">The purpose of the risk assessment is to assist INNA in: </w:t>
      </w:r>
    </w:p>
    <w:p w:rsidR="00B7431A" w:rsidRPr="00B7431A" w:rsidP="00B7431A" w14:paraId="140A8A57" w14:textId="77777777">
      <w:pPr>
        <w:spacing w:after="160" w:line="259" w:lineRule="auto"/>
        <w:jc w:val="both"/>
        <w:rPr>
          <w:rFonts w:eastAsia="Aptos"/>
          <w:szCs w:val="22"/>
          <w:lang w:val="en-GB" w:eastAsia="en-US"/>
          <w14:ligatures w14:val="standardContextual"/>
        </w:rPr>
      </w:pPr>
      <w:r w:rsidRPr="00B7431A">
        <w:rPr>
          <w:rFonts w:eastAsia="Aptos"/>
          <w:szCs w:val="22"/>
          <w:lang w:val="en-GB" w:eastAsia="en-US"/>
          <w14:ligatures w14:val="standardContextual"/>
        </w:rPr>
        <w:t xml:space="preserve">1) understanding what kind of risks relating to money laundering, terrorism financing and trade sanction violations may materialise in its business </w:t>
      </w:r>
    </w:p>
    <w:p w:rsidR="00B7431A" w:rsidRPr="00B7431A" w:rsidP="00B7431A" w14:paraId="7369F0C3" w14:textId="77777777">
      <w:pPr>
        <w:spacing w:after="160" w:line="259" w:lineRule="auto"/>
        <w:jc w:val="both"/>
        <w:rPr>
          <w:rFonts w:eastAsia="Aptos"/>
          <w:szCs w:val="22"/>
          <w:lang w:val="en-GB" w:eastAsia="en-US"/>
          <w14:ligatures w14:val="standardContextual"/>
        </w:rPr>
      </w:pPr>
      <w:r w:rsidRPr="00B7431A">
        <w:rPr>
          <w:rFonts w:eastAsia="Aptos"/>
          <w:szCs w:val="22"/>
          <w:lang w:val="en-GB" w:eastAsia="en-US"/>
          <w14:ligatures w14:val="standardContextual"/>
        </w:rPr>
        <w:t xml:space="preserve">2) analysing the risk level inherent in customers, business partners, services and geographical scope of its business </w:t>
      </w:r>
    </w:p>
    <w:p w:rsidR="00B7431A" w:rsidRPr="00B7431A" w:rsidP="00B7431A" w14:paraId="42465BC8" w14:textId="77777777">
      <w:pPr>
        <w:spacing w:after="160" w:line="259" w:lineRule="auto"/>
        <w:jc w:val="both"/>
        <w:rPr>
          <w:rFonts w:eastAsia="Aptos"/>
          <w:szCs w:val="22"/>
          <w:lang w:val="en-GB" w:eastAsia="en-US"/>
          <w14:ligatures w14:val="standardContextual"/>
        </w:rPr>
      </w:pPr>
      <w:r w:rsidRPr="00B7431A">
        <w:rPr>
          <w:rFonts w:eastAsia="Aptos"/>
          <w:szCs w:val="22"/>
          <w:lang w:val="en-GB" w:eastAsia="en-US"/>
          <w14:ligatures w14:val="standardContextual"/>
        </w:rPr>
        <w:t xml:space="preserve">3) prioritizing the risks </w:t>
      </w:r>
    </w:p>
    <w:p w:rsidR="00B7431A" w:rsidRPr="00B7431A" w:rsidP="00B7431A" w14:paraId="203BD3B6" w14:textId="77777777">
      <w:pPr>
        <w:spacing w:after="160" w:line="259" w:lineRule="auto"/>
        <w:jc w:val="both"/>
        <w:rPr>
          <w:rFonts w:eastAsia="Aptos"/>
          <w:szCs w:val="22"/>
          <w:lang w:val="en-GB" w:eastAsia="en-US"/>
          <w14:ligatures w14:val="standardContextual"/>
        </w:rPr>
      </w:pPr>
      <w:r w:rsidRPr="00B7431A">
        <w:rPr>
          <w:rFonts w:eastAsia="Aptos"/>
          <w:szCs w:val="22"/>
          <w:lang w:val="en-GB" w:eastAsia="en-US"/>
          <w14:ligatures w14:val="standardContextual"/>
        </w:rPr>
        <w:t xml:space="preserve">4) planning procedures to monitor, avoid and mitigate the risks </w:t>
      </w:r>
    </w:p>
    <w:p w:rsidR="00B7431A" w:rsidRPr="00B7431A" w:rsidP="00B7431A" w14:paraId="3235AE9B" w14:textId="77777777">
      <w:pPr>
        <w:spacing w:after="160" w:line="259" w:lineRule="auto"/>
        <w:jc w:val="both"/>
        <w:rPr>
          <w:rFonts w:eastAsia="Aptos"/>
          <w:szCs w:val="22"/>
          <w:lang w:val="en-GB" w:eastAsia="en-US"/>
          <w14:ligatures w14:val="standardContextual"/>
        </w:rPr>
      </w:pPr>
      <w:r w:rsidRPr="00B7431A">
        <w:rPr>
          <w:rFonts w:eastAsia="Aptos"/>
          <w:szCs w:val="22"/>
          <w:lang w:val="en-GB" w:eastAsia="en-US"/>
          <w14:ligatures w14:val="standardContextual"/>
        </w:rPr>
        <w:t xml:space="preserve">5) developing and updating internal guidelines and processes to ensure compliance </w:t>
      </w:r>
    </w:p>
    <w:p w:rsidR="00B7431A" w:rsidRPr="00B7431A" w:rsidP="00B7431A" w14:paraId="507840B5" w14:textId="77777777">
      <w:pPr>
        <w:spacing w:after="160" w:line="259" w:lineRule="auto"/>
        <w:jc w:val="both"/>
        <w:rPr>
          <w:rFonts w:eastAsia="Aptos"/>
          <w:szCs w:val="22"/>
          <w:lang w:val="en-GB" w:eastAsia="en-US"/>
          <w14:ligatures w14:val="standardContextual"/>
        </w:rPr>
      </w:pPr>
      <w:r w:rsidRPr="00B7431A">
        <w:rPr>
          <w:rFonts w:eastAsia="Aptos"/>
          <w:szCs w:val="22"/>
          <w:lang w:val="en-GB" w:eastAsia="en-US"/>
          <w14:ligatures w14:val="standardContextual"/>
        </w:rPr>
        <w:t xml:space="preserve">The level of risk is assessed considering the nature, size and scope of INNA’s business and its clientele. </w:t>
      </w:r>
    </w:p>
    <w:p w:rsidR="00B7431A" w:rsidRPr="00B7431A" w:rsidP="00B7431A" w14:paraId="305735C6" w14:textId="77777777">
      <w:pPr>
        <w:spacing w:after="160" w:line="259" w:lineRule="auto"/>
        <w:jc w:val="both"/>
        <w:rPr>
          <w:rFonts w:eastAsia="Aptos"/>
          <w:szCs w:val="22"/>
          <w:lang w:val="en-GB" w:eastAsia="en-US"/>
          <w14:ligatures w14:val="standardContextual"/>
        </w:rPr>
      </w:pPr>
      <w:r w:rsidRPr="00B7431A">
        <w:rPr>
          <w:rFonts w:eastAsia="Aptos"/>
          <w:szCs w:val="22"/>
          <w:lang w:val="en-GB" w:eastAsia="en-US"/>
          <w14:ligatures w14:val="standardContextual"/>
        </w:rPr>
        <w:t>The risk assessment must be prepared in writing and if so requested, delivered promptly to the competent authorities.</w:t>
      </w:r>
    </w:p>
    <w:p w:rsidR="00B7431A" w:rsidRPr="00B7431A" w:rsidP="00B7431A" w14:paraId="1CB6B47D" w14:textId="77777777">
      <w:pPr>
        <w:spacing w:after="160" w:line="259" w:lineRule="auto"/>
        <w:jc w:val="both"/>
        <w:rPr>
          <w:rFonts w:eastAsia="Aptos"/>
          <w:szCs w:val="22"/>
          <w:lang w:val="en-GB" w:eastAsia="en-US"/>
          <w14:ligatures w14:val="standardContextual"/>
        </w:rPr>
      </w:pPr>
    </w:p>
    <w:p w:rsidR="00B7431A" w:rsidP="00B7431A" w14:paraId="2836E4CC" w14:textId="77777777">
      <w:pPr>
        <w:numPr>
          <w:ilvl w:val="2"/>
          <w:numId w:val="44"/>
        </w:numPr>
        <w:spacing w:after="160" w:line="259" w:lineRule="auto"/>
        <w:ind w:left="721" w:hanging="720"/>
        <w:contextualSpacing/>
        <w:rPr>
          <w:rFonts w:eastAsia="Aptos"/>
          <w:b/>
          <w:bCs/>
          <w:color w:val="0F4761"/>
          <w:szCs w:val="22"/>
          <w:lang w:val="en-GB" w:eastAsia="en-US"/>
          <w14:ligatures w14:val="standardContextual"/>
        </w:rPr>
      </w:pPr>
      <w:r w:rsidRPr="00B7431A">
        <w:rPr>
          <w:rFonts w:eastAsia="Aptos"/>
          <w:b/>
          <w:bCs/>
          <w:color w:val="0F4761"/>
          <w:szCs w:val="22"/>
          <w:lang w:val="en-GB" w:eastAsia="en-US"/>
          <w14:ligatures w14:val="standardContextual"/>
        </w:rPr>
        <w:t>Minimum due diligence measures regarding sanction screening</w:t>
      </w:r>
    </w:p>
    <w:p w:rsidR="0085171F" w:rsidRPr="00B7431A" w:rsidP="0085171F" w14:paraId="3B8557BF" w14:textId="77777777">
      <w:pPr>
        <w:spacing w:after="160" w:line="259" w:lineRule="auto"/>
        <w:ind w:left="721"/>
        <w:contextualSpacing/>
        <w:rPr>
          <w:rFonts w:eastAsia="Aptos"/>
          <w:b/>
          <w:bCs/>
          <w:color w:val="0F4761"/>
          <w:szCs w:val="22"/>
          <w:lang w:val="en-GB" w:eastAsia="en-US"/>
          <w14:ligatures w14:val="standardContextual"/>
        </w:rPr>
      </w:pPr>
    </w:p>
    <w:p w:rsidR="00B7431A" w:rsidRPr="00B7431A" w:rsidP="00B7431A" w14:paraId="5CF4213A" w14:textId="77777777">
      <w:pPr>
        <w:spacing w:after="160" w:line="259" w:lineRule="auto"/>
        <w:rPr>
          <w:rFonts w:eastAsia="Aptos"/>
          <w:szCs w:val="22"/>
          <w:lang w:val="en-GB" w:eastAsia="en-US"/>
          <w14:ligatures w14:val="standardContextual"/>
        </w:rPr>
      </w:pPr>
      <w:r w:rsidRPr="00B7431A">
        <w:rPr>
          <w:rFonts w:eastAsia="Aptos"/>
          <w:szCs w:val="22"/>
          <w:lang w:val="en-GB" w:eastAsia="en-US"/>
          <w14:ligatures w14:val="standardContextual"/>
        </w:rPr>
        <w:t>As a minimum, it is advisable to screen all business partners (customers and suppliers) at least once per year against sanction lists. All new business partners shall be checked before committing to contract.</w:t>
      </w:r>
    </w:p>
    <w:p w:rsidR="00B7431A" w:rsidRPr="00B7431A" w:rsidP="00B7431A" w14:paraId="1CAB93FA" w14:textId="77777777">
      <w:pPr>
        <w:spacing w:after="160" w:line="259" w:lineRule="auto"/>
        <w:jc w:val="both"/>
        <w:rPr>
          <w:rFonts w:eastAsia="Aptos"/>
          <w:szCs w:val="22"/>
          <w:lang w:val="en-GB" w:eastAsia="en-US"/>
          <w14:ligatures w14:val="standardContextual"/>
        </w:rPr>
      </w:pPr>
      <w:r w:rsidRPr="00B7431A">
        <w:rPr>
          <w:rFonts w:eastAsia="Aptos"/>
          <w:szCs w:val="22"/>
          <w:lang w:val="en-GB" w:eastAsia="en-US"/>
          <w14:ligatures w14:val="standardContextual"/>
        </w:rPr>
        <w:t>If the screening results contain a match that appears to be relevant, the transaction shall be escalated for further review before proceeding with the transaction. If INNA discovers a party whose identification information matches that of those subject to international financial sanctions or national freezing decisions, INNA must freeze their assets or suspend the transaction and report the matter to the competent authorities. No transactions of any kind may be carried out with the Listed person, and no funds may be transferred to such a person, even in the form of a refund.</w:t>
      </w:r>
    </w:p>
    <w:p w:rsidR="00B7431A" w:rsidRPr="00B7431A" w:rsidP="00B7431A" w14:paraId="7D58927E" w14:textId="77777777">
      <w:pPr>
        <w:spacing w:after="160" w:line="259" w:lineRule="auto"/>
        <w:jc w:val="both"/>
        <w:rPr>
          <w:rFonts w:eastAsia="Aptos"/>
          <w:szCs w:val="22"/>
          <w:lang w:val="en-GB" w:eastAsia="en-US"/>
          <w14:ligatures w14:val="standardContextual"/>
        </w:rPr>
      </w:pPr>
      <w:r w:rsidRPr="00B7431A">
        <w:rPr>
          <w:rFonts w:eastAsia="Aptos"/>
          <w:szCs w:val="22"/>
          <w:lang w:val="en-GB" w:eastAsia="en-US"/>
          <w14:ligatures w14:val="standardContextual"/>
        </w:rPr>
        <w:t>If at any point, suspicious behaviour or triggering factors are identified (for example reluctance to provide information, indications that the business party is acting on behalf of an undisclosed third party, or requests for unusual payment terms) or there are obvious risks related to the business partner, enhanced due diligence should be conducted. INNA Group’s country-specific CEO’s and legal advisors support INNA businesses in case of any unclear situations.</w:t>
      </w:r>
    </w:p>
    <w:p w:rsidR="00B7431A" w:rsidP="00B7431A" w14:paraId="49F8E036" w14:textId="77777777">
      <w:pPr>
        <w:spacing w:after="160" w:line="259" w:lineRule="auto"/>
        <w:jc w:val="both"/>
        <w:rPr>
          <w:rFonts w:eastAsia="Aptos"/>
          <w:szCs w:val="22"/>
          <w:lang w:val="en-GB" w:eastAsia="en-US"/>
          <w14:ligatures w14:val="standardContextual"/>
        </w:rPr>
      </w:pPr>
      <w:r w:rsidRPr="00B7431A">
        <w:rPr>
          <w:rFonts w:eastAsia="Aptos"/>
          <w:szCs w:val="22"/>
          <w:lang w:val="en-GB" w:eastAsia="en-US"/>
          <w14:ligatures w14:val="standardContextual"/>
        </w:rPr>
        <w:t>Records of screening results and other due diligence measures shall be maintained in order to evidence compliance.</w:t>
      </w:r>
    </w:p>
    <w:p w:rsidR="00AE25C0" w:rsidRPr="00B7431A" w:rsidP="00B7431A" w14:paraId="1952DE2D" w14:textId="77777777">
      <w:pPr>
        <w:spacing w:after="160" w:line="259" w:lineRule="auto"/>
        <w:jc w:val="both"/>
        <w:rPr>
          <w:rFonts w:eastAsia="Aptos"/>
          <w:szCs w:val="22"/>
          <w:lang w:val="en-GB" w:eastAsia="en-US"/>
          <w14:ligatures w14:val="standardContextual"/>
        </w:rPr>
      </w:pPr>
    </w:p>
    <w:p w:rsidR="00B7431A" w:rsidRPr="002571D3" w:rsidP="002571D3" w14:paraId="6BBE5BF2" w14:textId="77777777">
      <w:pPr>
        <w:keepNext/>
        <w:keepLines/>
        <w:numPr>
          <w:ilvl w:val="1"/>
          <w:numId w:val="44"/>
        </w:numPr>
        <w:tabs>
          <w:tab w:val="num" w:pos="360"/>
        </w:tabs>
        <w:spacing w:after="160" w:line="259" w:lineRule="auto"/>
        <w:outlineLvl w:val="1"/>
        <w:rPr>
          <w:rFonts w:cs="Times New Roman"/>
          <w:b/>
          <w:color w:val="0F4761"/>
          <w:szCs w:val="22"/>
          <w:lang w:val="en-GB" w:eastAsia="en-US"/>
          <w14:ligatures w14:val="standardContextual"/>
        </w:rPr>
      </w:pPr>
      <w:r w:rsidRPr="002571D3">
        <w:rPr>
          <w:rFonts w:cs="Times New Roman"/>
          <w:b/>
          <w:color w:val="0F4761"/>
          <w:szCs w:val="22"/>
          <w:lang w:val="en-GB" w:eastAsia="en-US"/>
          <w14:ligatures w14:val="standardContextual"/>
        </w:rPr>
        <w:t xml:space="preserve"> Know your customer studies</w:t>
      </w:r>
    </w:p>
    <w:p w:rsidR="00B7431A" w:rsidRPr="00B7431A" w:rsidP="00B7431A" w14:paraId="00DA3513" w14:textId="1EB05A6E">
      <w:pPr>
        <w:spacing w:after="160" w:line="259" w:lineRule="auto"/>
        <w:jc w:val="both"/>
        <w:rPr>
          <w:rFonts w:eastAsia="Aptos"/>
          <w:szCs w:val="22"/>
          <w:lang w:val="en-GB" w:eastAsia="en-US"/>
          <w14:ligatures w14:val="standardContextual"/>
        </w:rPr>
      </w:pPr>
      <w:r w:rsidRPr="00B7431A">
        <w:rPr>
          <w:rFonts w:eastAsia="Aptos"/>
          <w:szCs w:val="22"/>
          <w:lang w:val="en-GB" w:eastAsia="en-US"/>
          <w14:ligatures w14:val="standardContextual"/>
        </w:rPr>
        <w:t xml:space="preserve">To the extent INNA performs services, under which we are obliged to comply with Money Laundering Act, we conduct know your customer investigations before we make a decision whether or not to commit to a contract with business partner. </w:t>
      </w:r>
    </w:p>
    <w:p w:rsidR="00B7431A" w:rsidRPr="00B7431A" w:rsidP="00B7431A" w14:paraId="4E32CB94" w14:textId="77777777">
      <w:pPr>
        <w:spacing w:after="160" w:line="259" w:lineRule="auto"/>
        <w:jc w:val="both"/>
        <w:rPr>
          <w:rFonts w:eastAsia="Aptos"/>
          <w:szCs w:val="22"/>
          <w:lang w:val="en-GB" w:eastAsia="en-US"/>
          <w14:ligatures w14:val="standardContextual"/>
        </w:rPr>
      </w:pPr>
      <w:r w:rsidRPr="00B7431A">
        <w:rPr>
          <w:rFonts w:eastAsia="Aptos"/>
          <w:szCs w:val="22"/>
          <w:lang w:val="en-GB" w:eastAsia="en-US"/>
          <w14:ligatures w14:val="standardContextual"/>
        </w:rPr>
        <w:t>INNA shall not establish or maintain a business relationship subject to Money Laundering Act obligations unless: (a) the applicable know your customer procedures have been completed in accordance with INNA's internal KYC guidelines and applicable law; (b) adequate customer due diligence information has been obtained and verified as specified in INNA's risk-based KYC framework; and (c) any enhanced due diligence requirements have been satisfied where applicable.</w:t>
      </w:r>
    </w:p>
    <w:p w:rsidR="00B7431A" w:rsidRPr="00B7431A" w:rsidP="00B7431A" w14:paraId="0DB8D705" w14:textId="77777777">
      <w:pPr>
        <w:spacing w:after="160" w:line="259" w:lineRule="auto"/>
        <w:jc w:val="both"/>
        <w:rPr>
          <w:rFonts w:eastAsia="Aptos"/>
          <w:szCs w:val="22"/>
          <w:lang w:val="en-GB" w:eastAsia="en-US"/>
          <w14:ligatures w14:val="standardContextual"/>
        </w:rPr>
      </w:pPr>
      <w:r w:rsidRPr="00B7431A">
        <w:rPr>
          <w:rFonts w:eastAsia="Aptos"/>
          <w:szCs w:val="22"/>
          <w:lang w:val="en-GB" w:eastAsia="en-US"/>
          <w14:ligatures w14:val="standardContextual"/>
        </w:rPr>
        <w:t>Where adequate information cannot be obtained or verified, or where KYC procedures cannot be completed satisfactorily, the business relationship shall not be established or, if already established, shall be terminated in accordance with applicable legal requirements.</w:t>
      </w:r>
    </w:p>
    <w:p w:rsidR="00B7431A" w:rsidP="00B7431A" w14:paraId="071D8920" w14:textId="77777777">
      <w:pPr>
        <w:spacing w:after="160" w:line="259" w:lineRule="auto"/>
        <w:jc w:val="both"/>
        <w:rPr>
          <w:rFonts w:eastAsia="Aptos"/>
          <w:szCs w:val="22"/>
          <w:lang w:val="en-GB" w:eastAsia="en-US"/>
          <w14:ligatures w14:val="standardContextual"/>
        </w:rPr>
      </w:pPr>
      <w:r w:rsidRPr="00B7431A">
        <w:rPr>
          <w:rFonts w:eastAsia="Aptos"/>
          <w:szCs w:val="22"/>
          <w:lang w:val="en-GB" w:eastAsia="en-US"/>
          <w14:ligatures w14:val="standardContextual"/>
        </w:rPr>
        <w:t>All such decisions shall be documented and, where appropriate, escalated to INNA Group’s country-specific CEO or legal advisors for guidance</w:t>
      </w:r>
    </w:p>
    <w:p w:rsidR="002571D3" w:rsidRPr="00B7431A" w:rsidP="00B7431A" w14:paraId="4BBD8375" w14:textId="77777777">
      <w:pPr>
        <w:spacing w:after="160" w:line="259" w:lineRule="auto"/>
        <w:jc w:val="both"/>
        <w:rPr>
          <w:rFonts w:eastAsia="Aptos"/>
          <w:szCs w:val="22"/>
          <w:lang w:val="en-GB" w:eastAsia="en-US"/>
          <w14:ligatures w14:val="standardContextual"/>
        </w:rPr>
      </w:pPr>
    </w:p>
    <w:p w:rsidR="00B7431A" w:rsidRPr="002571D3" w:rsidP="002571D3" w14:paraId="13224DD8" w14:textId="77777777">
      <w:pPr>
        <w:keepNext/>
        <w:keepLines/>
        <w:numPr>
          <w:ilvl w:val="1"/>
          <w:numId w:val="44"/>
        </w:numPr>
        <w:tabs>
          <w:tab w:val="num" w:pos="360"/>
        </w:tabs>
        <w:spacing w:after="160" w:line="259" w:lineRule="auto"/>
        <w:outlineLvl w:val="1"/>
        <w:rPr>
          <w:rFonts w:cs="Times New Roman"/>
          <w:b/>
          <w:color w:val="0F4761"/>
          <w:szCs w:val="22"/>
          <w:lang w:val="en-GB" w:eastAsia="en-US"/>
          <w14:ligatures w14:val="standardContextual"/>
        </w:rPr>
      </w:pPr>
      <w:r w:rsidRPr="002571D3">
        <w:rPr>
          <w:rFonts w:cs="Times New Roman"/>
          <w:b/>
          <w:color w:val="0F4761"/>
          <w:szCs w:val="22"/>
          <w:lang w:val="en-GB" w:eastAsia="en-US"/>
          <w14:ligatures w14:val="standardContextual"/>
        </w:rPr>
        <w:t>Contractual undertakings and other compliance measures with business partners</w:t>
      </w:r>
    </w:p>
    <w:p w:rsidR="00B7431A" w:rsidRPr="00B7431A" w:rsidP="00B7431A" w14:paraId="26111A4F" w14:textId="64460EEF">
      <w:pPr>
        <w:spacing w:after="160" w:line="259" w:lineRule="auto"/>
        <w:jc w:val="both"/>
        <w:rPr>
          <w:rFonts w:eastAsia="Aptos"/>
          <w:szCs w:val="22"/>
          <w:lang w:val="en-GB" w:eastAsia="en-US"/>
          <w14:ligatures w14:val="standardContextual"/>
        </w:rPr>
      </w:pPr>
      <w:r w:rsidRPr="00B7431A">
        <w:rPr>
          <w:rFonts w:eastAsia="Aptos"/>
          <w:szCs w:val="22"/>
          <w:lang w:val="en-GB" w:eastAsia="en-US"/>
          <w14:ligatures w14:val="standardContextual"/>
        </w:rPr>
        <w:t>It is recommended to include contractual clauses on trade compliance into INNA´s agreements entered into with business partners. For example, the business partner should warrant that neither itself nor any of its responsible persons, owners or ultimate beneficiary owners is not on any sanction lists and it should further commit to inform INNA immediately, if the situation changes.</w:t>
      </w:r>
    </w:p>
    <w:p w:rsidR="00B7431A" w:rsidRPr="00B7431A" w:rsidP="00B7431A" w14:paraId="792AFD12" w14:textId="77777777">
      <w:pPr>
        <w:spacing w:after="160" w:line="259" w:lineRule="auto"/>
        <w:jc w:val="both"/>
        <w:rPr>
          <w:rFonts w:eastAsia="Aptos"/>
          <w:szCs w:val="22"/>
          <w:lang w:val="en-GB" w:eastAsia="en-US"/>
          <w14:ligatures w14:val="standardContextual"/>
        </w:rPr>
      </w:pPr>
    </w:p>
    <w:p w:rsidR="00B7431A" w:rsidRPr="00B7431A" w:rsidP="00B7431A" w14:paraId="013B9A79" w14:textId="77777777">
      <w:pPr>
        <w:keepNext/>
        <w:keepLines/>
        <w:numPr>
          <w:ilvl w:val="0"/>
          <w:numId w:val="44"/>
        </w:numPr>
        <w:spacing w:after="160" w:line="259" w:lineRule="auto"/>
        <w:ind w:left="426" w:hanging="426"/>
        <w:jc w:val="both"/>
        <w:outlineLvl w:val="1"/>
        <w:rPr>
          <w:rFonts w:cs="Times New Roman"/>
          <w:b/>
          <w:color w:val="0F4761"/>
          <w:sz w:val="24"/>
          <w:szCs w:val="32"/>
          <w:lang w:val="en-GB" w:eastAsia="en-US"/>
          <w14:ligatures w14:val="standardContextual"/>
        </w:rPr>
      </w:pPr>
      <w:r w:rsidRPr="00B7431A">
        <w:rPr>
          <w:rFonts w:cs="Times New Roman"/>
          <w:b/>
          <w:color w:val="0F4761"/>
          <w:sz w:val="24"/>
          <w:szCs w:val="32"/>
          <w:lang w:val="en-GB" w:eastAsia="en-US"/>
          <w14:ligatures w14:val="standardContextual"/>
        </w:rPr>
        <w:t>Record keeping and internal audits</w:t>
      </w:r>
    </w:p>
    <w:p w:rsidR="00B7431A" w:rsidRPr="00B7431A" w:rsidP="00B7431A" w14:paraId="66A1BC0B" w14:textId="77777777">
      <w:pPr>
        <w:spacing w:after="160" w:line="259" w:lineRule="auto"/>
        <w:jc w:val="both"/>
        <w:rPr>
          <w:rFonts w:eastAsia="Aptos"/>
          <w:szCs w:val="22"/>
          <w:lang w:val="en-GB" w:eastAsia="en-US"/>
          <w14:ligatures w14:val="standardContextual"/>
        </w:rPr>
      </w:pPr>
    </w:p>
    <w:p w:rsidR="00B7431A" w:rsidRPr="00B7431A" w:rsidP="00B7431A" w14:paraId="65B7D2A7" w14:textId="77777777">
      <w:pPr>
        <w:spacing w:after="160" w:line="259" w:lineRule="auto"/>
        <w:jc w:val="both"/>
        <w:rPr>
          <w:rFonts w:eastAsia="Aptos"/>
          <w:szCs w:val="22"/>
          <w:lang w:val="en-GB" w:eastAsia="en-US"/>
          <w14:ligatures w14:val="standardContextual"/>
        </w:rPr>
      </w:pPr>
      <w:r w:rsidRPr="00B7431A">
        <w:rPr>
          <w:rFonts w:eastAsia="Aptos"/>
          <w:szCs w:val="22"/>
          <w:lang w:val="en-GB" w:eastAsia="en-US"/>
          <w14:ligatures w14:val="standardContextual"/>
        </w:rPr>
        <w:t>INNA shall ensure that it maintains records of compliance activities, in particular those required herein, i.e. risk assessment, sanction screening and compliance with KYC-obligations, and that correct information is provided, upon request, to other company entities.</w:t>
      </w:r>
    </w:p>
    <w:p w:rsidR="00B7431A" w:rsidRPr="00B7431A" w:rsidP="00B7431A" w14:paraId="5819421C" w14:textId="77777777">
      <w:pPr>
        <w:spacing w:after="160" w:line="259" w:lineRule="auto"/>
        <w:jc w:val="both"/>
        <w:rPr>
          <w:rFonts w:eastAsia="Aptos"/>
          <w:szCs w:val="22"/>
          <w:lang w:val="en-GB" w:eastAsia="en-US"/>
          <w14:ligatures w14:val="standardContextual"/>
        </w:rPr>
      </w:pPr>
      <w:r w:rsidRPr="00B7431A">
        <w:rPr>
          <w:rFonts w:eastAsia="Aptos"/>
          <w:szCs w:val="22"/>
          <w:lang w:val="en-GB" w:eastAsia="en-US"/>
          <w14:ligatures w14:val="standardContextual"/>
        </w:rPr>
        <w:t xml:space="preserve">Records and documentation shall be kept at least for the time required by applicable law. </w:t>
      </w:r>
    </w:p>
    <w:p w:rsidR="00B7431A" w:rsidRPr="00B7431A" w:rsidP="00B7431A" w14:paraId="5C0A0629" w14:textId="77777777">
      <w:pPr>
        <w:spacing w:after="160" w:line="259" w:lineRule="auto"/>
        <w:jc w:val="both"/>
        <w:rPr>
          <w:rFonts w:eastAsia="Aptos"/>
          <w:szCs w:val="22"/>
          <w:lang w:val="en-GB" w:eastAsia="en-US"/>
          <w14:ligatures w14:val="standardContextual"/>
        </w:rPr>
      </w:pPr>
      <w:r w:rsidRPr="00B7431A">
        <w:rPr>
          <w:rFonts w:eastAsia="Aptos"/>
          <w:szCs w:val="22"/>
          <w:lang w:val="en-GB" w:eastAsia="en-US"/>
          <w14:ligatures w14:val="standardContextual"/>
        </w:rPr>
        <w:t>The processing of personal data must be permitted processing in accordance with the EU General Data Protection Regulation and the applicable data protection legislation. The proper storage, processing and confidentiality of personal data must be ensured in accordance with the EU GDPR and the applicable data protection legislation.</w:t>
      </w:r>
    </w:p>
    <w:p w:rsidR="00B7431A" w:rsidRPr="00B7431A" w:rsidP="00B7431A" w14:paraId="079B3282" w14:textId="77777777">
      <w:pPr>
        <w:spacing w:after="160" w:line="259" w:lineRule="auto"/>
        <w:jc w:val="both"/>
        <w:rPr>
          <w:rFonts w:eastAsia="Aptos"/>
          <w:szCs w:val="22"/>
          <w:lang w:val="en-GB" w:eastAsia="en-US"/>
          <w14:ligatures w14:val="standardContextual"/>
        </w:rPr>
      </w:pPr>
      <w:r w:rsidRPr="00B7431A">
        <w:rPr>
          <w:rFonts w:eastAsia="Aptos"/>
          <w:szCs w:val="22"/>
          <w:lang w:val="en-GB" w:eastAsia="en-US"/>
          <w14:ligatures w14:val="standardContextual"/>
        </w:rPr>
        <w:t xml:space="preserve">INNA may carry out internal controls, as appropriate, within relevant departments to assess compliance with this Policy, applicable regulations and any supplementary internal procedures and guidelines. </w:t>
      </w:r>
    </w:p>
    <w:p w:rsidR="00B7431A" w:rsidRPr="00B7431A" w:rsidP="00B7431A" w14:paraId="67ED5002" w14:textId="77777777">
      <w:pPr>
        <w:spacing w:after="160" w:line="259" w:lineRule="auto"/>
        <w:jc w:val="both"/>
        <w:rPr>
          <w:rFonts w:eastAsia="Aptos"/>
          <w:szCs w:val="22"/>
          <w:lang w:val="en-GB" w:eastAsia="en-US"/>
          <w14:ligatures w14:val="standardContextual"/>
        </w:rPr>
      </w:pPr>
    </w:p>
    <w:p w:rsidR="00B7431A" w:rsidRPr="00B7431A" w:rsidP="00B7431A" w14:paraId="16235211" w14:textId="77777777">
      <w:pPr>
        <w:keepNext/>
        <w:keepLines/>
        <w:numPr>
          <w:ilvl w:val="0"/>
          <w:numId w:val="44"/>
        </w:numPr>
        <w:spacing w:after="160" w:line="259" w:lineRule="auto"/>
        <w:ind w:left="433" w:hanging="432"/>
        <w:jc w:val="both"/>
        <w:outlineLvl w:val="1"/>
        <w:rPr>
          <w:rFonts w:cs="Times New Roman"/>
          <w:b/>
          <w:color w:val="0F4761"/>
          <w:sz w:val="24"/>
          <w:szCs w:val="32"/>
          <w:lang w:val="en-GB" w:eastAsia="en-US"/>
          <w14:ligatures w14:val="standardContextual"/>
        </w:rPr>
      </w:pPr>
      <w:r w:rsidRPr="00B7431A">
        <w:rPr>
          <w:rFonts w:cs="Times New Roman"/>
          <w:b/>
          <w:color w:val="0F4761"/>
          <w:sz w:val="24"/>
          <w:szCs w:val="32"/>
          <w:lang w:val="en-GB" w:eastAsia="en-US"/>
          <w14:ligatures w14:val="standardContextual"/>
        </w:rPr>
        <w:t>Implementation</w:t>
      </w:r>
    </w:p>
    <w:p w:rsidR="00B7431A" w:rsidRPr="00B7431A" w:rsidP="00B7431A" w14:paraId="64101AE2" w14:textId="77777777">
      <w:pPr>
        <w:spacing w:after="160" w:line="259" w:lineRule="auto"/>
        <w:jc w:val="both"/>
        <w:rPr>
          <w:rFonts w:eastAsia="Aptos"/>
          <w:szCs w:val="22"/>
          <w:lang w:val="en-GB" w:eastAsia="en-US"/>
          <w14:ligatures w14:val="standardContextual"/>
        </w:rPr>
      </w:pPr>
    </w:p>
    <w:p w:rsidR="00B7431A" w:rsidRPr="002571D3" w:rsidP="002571D3" w14:paraId="58E43F98" w14:textId="77777777">
      <w:pPr>
        <w:keepNext/>
        <w:keepLines/>
        <w:numPr>
          <w:ilvl w:val="1"/>
          <w:numId w:val="44"/>
        </w:numPr>
        <w:spacing w:after="160" w:line="259" w:lineRule="auto"/>
        <w:jc w:val="both"/>
        <w:outlineLvl w:val="1"/>
        <w:rPr>
          <w:rFonts w:cs="Times New Roman"/>
          <w:b/>
          <w:color w:val="0F4761"/>
          <w:sz w:val="24"/>
          <w:szCs w:val="32"/>
          <w:lang w:val="en-GB" w:eastAsia="en-US"/>
          <w14:ligatures w14:val="standardContextual"/>
        </w:rPr>
      </w:pPr>
      <w:r w:rsidRPr="002571D3">
        <w:rPr>
          <w:rFonts w:cs="Times New Roman"/>
          <w:b/>
          <w:color w:val="0F4761"/>
          <w:sz w:val="24"/>
          <w:szCs w:val="32"/>
          <w:lang w:val="en-GB" w:eastAsia="en-US"/>
          <w14:ligatures w14:val="standardContextual"/>
        </w:rPr>
        <w:t>Responsibilities and organisation</w:t>
      </w:r>
    </w:p>
    <w:p w:rsidR="00B7431A" w:rsidRPr="00B7431A" w:rsidP="00B7431A" w14:paraId="47688ED9" w14:textId="77777777">
      <w:pPr>
        <w:spacing w:after="160" w:line="259" w:lineRule="auto"/>
        <w:jc w:val="both"/>
        <w:rPr>
          <w:rFonts w:eastAsia="Aptos"/>
          <w:szCs w:val="22"/>
          <w:lang w:val="en-GB" w:eastAsia="en-US"/>
          <w14:ligatures w14:val="standardContextual"/>
        </w:rPr>
      </w:pPr>
      <w:r w:rsidRPr="00B7431A">
        <w:rPr>
          <w:rFonts w:eastAsia="Aptos"/>
          <w:szCs w:val="22"/>
          <w:lang w:val="en-GB" w:eastAsia="en-US"/>
          <w14:ligatures w14:val="standardContextual"/>
        </w:rPr>
        <w:t>Each employee, top management and member of the Board of Directors in INNA Group companies must understand and comply with this Trade Compliance Policy.</w:t>
      </w:r>
    </w:p>
    <w:p w:rsidR="00B7431A" w:rsidRPr="00B7431A" w:rsidP="00B7431A" w14:paraId="113CF280" w14:textId="77777777">
      <w:pPr>
        <w:spacing w:after="160" w:line="259" w:lineRule="auto"/>
        <w:jc w:val="both"/>
        <w:rPr>
          <w:rFonts w:eastAsia="Aptos"/>
          <w:szCs w:val="22"/>
          <w:lang w:val="en-GB" w:eastAsia="en-US"/>
          <w14:ligatures w14:val="standardContextual"/>
        </w:rPr>
      </w:pPr>
      <w:r w:rsidRPr="00B7431A">
        <w:rPr>
          <w:rFonts w:eastAsia="Aptos"/>
          <w:szCs w:val="22"/>
          <w:lang w:val="en-GB" w:eastAsia="en-US"/>
          <w14:ligatures w14:val="standardContextual"/>
        </w:rPr>
        <w:t>If any questions arise about the content of this Trade Compliance Policy, or how it should influence the everyday work or a specific matter, please reach out to your INNA Group’s country-specific CEO.</w:t>
      </w:r>
    </w:p>
    <w:p w:rsidR="00B7431A" w:rsidRPr="002571D3" w:rsidP="002571D3" w14:paraId="6A2FDFE8" w14:textId="77777777">
      <w:pPr>
        <w:keepNext/>
        <w:keepLines/>
        <w:numPr>
          <w:ilvl w:val="1"/>
          <w:numId w:val="44"/>
        </w:numPr>
        <w:tabs>
          <w:tab w:val="num" w:pos="360"/>
        </w:tabs>
        <w:spacing w:after="160" w:line="259" w:lineRule="auto"/>
        <w:jc w:val="both"/>
        <w:outlineLvl w:val="1"/>
        <w:rPr>
          <w:rFonts w:cs="Times New Roman"/>
          <w:b/>
          <w:color w:val="0F4761"/>
          <w:sz w:val="24"/>
          <w:szCs w:val="32"/>
          <w:lang w:val="en-GB" w:eastAsia="en-US"/>
          <w14:ligatures w14:val="standardContextual"/>
        </w:rPr>
      </w:pPr>
      <w:r w:rsidRPr="002571D3">
        <w:rPr>
          <w:rFonts w:cs="Times New Roman"/>
          <w:b/>
          <w:color w:val="0F4761"/>
          <w:sz w:val="24"/>
          <w:szCs w:val="32"/>
          <w:lang w:val="en-GB" w:eastAsia="en-US"/>
          <w14:ligatures w14:val="standardContextual"/>
        </w:rPr>
        <w:t>Training</w:t>
      </w:r>
    </w:p>
    <w:p w:rsidR="00B7431A" w:rsidRPr="00B7431A" w:rsidP="00B7431A" w14:paraId="49ADA517" w14:textId="77777777">
      <w:pPr>
        <w:spacing w:after="160" w:line="259" w:lineRule="auto"/>
        <w:jc w:val="both"/>
        <w:rPr>
          <w:rFonts w:eastAsia="Aptos"/>
          <w:szCs w:val="22"/>
          <w:lang w:val="en-GB" w:eastAsia="en-US"/>
          <w14:ligatures w14:val="standardContextual"/>
        </w:rPr>
      </w:pPr>
      <w:r w:rsidRPr="00B7431A">
        <w:rPr>
          <w:rFonts w:eastAsia="Aptos"/>
          <w:szCs w:val="22"/>
          <w:lang w:val="en-GB" w:eastAsia="en-US"/>
          <w14:ligatures w14:val="standardContextual"/>
        </w:rPr>
        <w:t>INNA provides role-based trainings to its employees on trade compliance. Trainings are repeated at regular intervals or when necessary. The training shall follow the internal guidelines established by INNA . INNA will keep records of the attendance in order to demonstrate its compliance if so required.</w:t>
      </w:r>
    </w:p>
    <w:p w:rsidR="00B7431A" w:rsidRPr="00B7431A" w:rsidP="00B7431A" w14:paraId="25A34D15" w14:textId="77777777">
      <w:pPr>
        <w:spacing w:after="160" w:line="259" w:lineRule="auto"/>
        <w:jc w:val="both"/>
        <w:rPr>
          <w:rFonts w:eastAsia="Aptos"/>
          <w:szCs w:val="22"/>
          <w:lang w:val="en-GB" w:eastAsia="en-US"/>
          <w14:ligatures w14:val="standardContextual"/>
        </w:rPr>
      </w:pPr>
    </w:p>
    <w:p w:rsidR="00B7431A" w:rsidRPr="00B7431A" w:rsidP="002571D3" w14:paraId="04D0DD6C" w14:textId="77777777">
      <w:pPr>
        <w:keepNext/>
        <w:keepLines/>
        <w:numPr>
          <w:ilvl w:val="0"/>
          <w:numId w:val="44"/>
        </w:numPr>
        <w:spacing w:after="160" w:line="259" w:lineRule="auto"/>
        <w:ind w:left="433" w:hanging="432"/>
        <w:jc w:val="both"/>
        <w:outlineLvl w:val="1"/>
        <w:rPr>
          <w:rFonts w:cs="Times New Roman"/>
          <w:b/>
          <w:color w:val="0F4761"/>
          <w:sz w:val="24"/>
          <w:szCs w:val="32"/>
          <w:lang w:val="en-GB" w:eastAsia="en-US"/>
          <w14:ligatures w14:val="standardContextual"/>
        </w:rPr>
      </w:pPr>
      <w:r w:rsidRPr="00B7431A">
        <w:rPr>
          <w:rFonts w:cs="Times New Roman"/>
          <w:b/>
          <w:color w:val="0F4761"/>
          <w:sz w:val="24"/>
          <w:szCs w:val="32"/>
          <w:lang w:val="en-GB" w:eastAsia="en-US"/>
          <w14:ligatures w14:val="standardContextual"/>
        </w:rPr>
        <w:t>Reporting concerns and consequences of violation</w:t>
      </w:r>
    </w:p>
    <w:p w:rsidR="00B7431A" w:rsidRPr="00B7431A" w:rsidP="00B7431A" w14:paraId="1D94E891" w14:textId="77777777">
      <w:pPr>
        <w:spacing w:after="160" w:line="259" w:lineRule="auto"/>
        <w:rPr>
          <w:rFonts w:eastAsia="Aptos"/>
          <w:szCs w:val="22"/>
          <w:lang w:val="en-GB" w:eastAsia="en-US"/>
          <w14:ligatures w14:val="standardContextual"/>
        </w:rPr>
      </w:pPr>
      <w:r w:rsidRPr="00B7431A">
        <w:rPr>
          <w:rFonts w:eastAsia="Aptos"/>
          <w:szCs w:val="22"/>
          <w:lang w:val="en-GB" w:eastAsia="en-US"/>
          <w14:ligatures w14:val="standardContextual"/>
        </w:rPr>
        <w:t>If you become aware or suspect a possible violation of law, rule, or regulation, or a violation of this Policy or any other of INNA’s policies, you shall contact INNA Group’s country-specific CEO, Head of business unit or your closest supervisor.</w:t>
      </w:r>
    </w:p>
    <w:p w:rsidR="00B7431A" w:rsidRPr="00B7431A" w:rsidP="00B7431A" w14:paraId="74AABCBE" w14:textId="77777777">
      <w:pPr>
        <w:spacing w:after="160" w:line="259" w:lineRule="auto"/>
        <w:rPr>
          <w:rFonts w:eastAsia="Aptos"/>
          <w:szCs w:val="22"/>
          <w:lang w:val="en-GB" w:eastAsia="en-US"/>
          <w14:ligatures w14:val="standardContextual"/>
        </w:rPr>
      </w:pPr>
      <w:r w:rsidRPr="00B7431A">
        <w:rPr>
          <w:rFonts w:eastAsia="Aptos"/>
          <w:szCs w:val="22"/>
          <w:lang w:val="en-GB" w:eastAsia="en-US"/>
          <w14:ligatures w14:val="standardContextual"/>
        </w:rPr>
        <w:t xml:space="preserve">You can also raise concerns through INNA’s whistleblowing system, available in country specific web pages. INNA will not tolerate any attempt to take adverse action against an employee for reporting a genuine concern regarding suspected wrongdoings. Retaliation against anyone who speaks up is a violation of the Code of Conduct and will not be tolerated. </w:t>
      </w:r>
    </w:p>
    <w:p w:rsidR="00B7431A" w:rsidRPr="00B7431A" w:rsidP="00B7431A" w14:paraId="5517BC75" w14:textId="77777777">
      <w:pPr>
        <w:spacing w:after="160" w:line="259" w:lineRule="auto"/>
        <w:jc w:val="both"/>
        <w:rPr>
          <w:rFonts w:eastAsia="Aptos"/>
          <w:szCs w:val="22"/>
          <w:lang w:val="en-GB" w:eastAsia="en-US"/>
          <w14:ligatures w14:val="standardContextual"/>
        </w:rPr>
      </w:pPr>
      <w:r w:rsidRPr="00B7431A">
        <w:rPr>
          <w:rFonts w:eastAsia="Aptos"/>
          <w:szCs w:val="22"/>
          <w:lang w:val="en-GB" w:eastAsia="en-US"/>
          <w14:ligatures w14:val="standardContextual"/>
        </w:rPr>
        <w:t>INNA does not tolerate any illegal or unethical behaviour. Violations of this Policy is likely to damage INNA’s brand and reputation. Failure to follow this Policy is taken seriously and may result in disciplinary action appropriate to the violation, including, but not limited to, termination of the employment.</w:t>
      </w:r>
    </w:p>
    <w:p w:rsidR="00B7431A" w:rsidRPr="00B7431A" w:rsidP="00B7431A" w14:paraId="0AA5C307" w14:textId="77777777">
      <w:pPr>
        <w:spacing w:after="160" w:line="259" w:lineRule="auto"/>
        <w:jc w:val="both"/>
        <w:rPr>
          <w:rFonts w:eastAsia="Aptos"/>
          <w:szCs w:val="22"/>
          <w:lang w:val="en-GB" w:eastAsia="en-US"/>
          <w14:ligatures w14:val="standardContextual"/>
        </w:rPr>
      </w:pPr>
    </w:p>
    <w:p w:rsidR="00B7431A" w:rsidRPr="00B7431A" w:rsidP="00B7431A" w14:paraId="143793F3" w14:textId="77777777">
      <w:pPr>
        <w:keepNext/>
        <w:keepLines/>
        <w:numPr>
          <w:ilvl w:val="0"/>
          <w:numId w:val="44"/>
        </w:numPr>
        <w:spacing w:after="160" w:line="259" w:lineRule="auto"/>
        <w:ind w:left="433" w:hanging="432"/>
        <w:jc w:val="both"/>
        <w:outlineLvl w:val="1"/>
        <w:rPr>
          <w:rFonts w:cs="Times New Roman"/>
          <w:b/>
          <w:color w:val="0F4761"/>
          <w:sz w:val="24"/>
          <w:szCs w:val="32"/>
          <w:lang w:val="en-GB" w:eastAsia="en-US"/>
          <w14:ligatures w14:val="standardContextual"/>
        </w:rPr>
      </w:pPr>
      <w:r w:rsidRPr="00B7431A">
        <w:rPr>
          <w:rFonts w:cs="Times New Roman"/>
          <w:b/>
          <w:color w:val="0F4761"/>
          <w:sz w:val="24"/>
          <w:szCs w:val="32"/>
          <w:lang w:val="en-GB" w:eastAsia="en-US"/>
          <w14:ligatures w14:val="standardContextual"/>
        </w:rPr>
        <w:t>Review and follow-up</w:t>
      </w:r>
    </w:p>
    <w:p w:rsidR="00B7431A" w:rsidRPr="00B7431A" w:rsidP="00B7431A" w14:paraId="5C6CDB48" w14:textId="148E831D">
      <w:pPr>
        <w:spacing w:before="120" w:after="160"/>
        <w:jc w:val="both"/>
        <w:rPr>
          <w:rFonts w:eastAsia="Arial"/>
          <w:szCs w:val="22"/>
          <w:lang w:val="en-GB" w:eastAsia="en-US"/>
          <w14:ligatures w14:val="standardContextual"/>
        </w:rPr>
      </w:pPr>
      <w:r w:rsidRPr="00B7431A">
        <w:rPr>
          <w:rFonts w:eastAsia="Arial"/>
          <w:szCs w:val="22"/>
          <w:lang w:val="en-GB" w:eastAsia="en-US"/>
          <w14:ligatures w14:val="standardContextual"/>
        </w:rPr>
        <w:t>Compliance with this Trade Compliance Policy by all INNA entities and employees</w:t>
      </w:r>
      <w:r w:rsidR="006813B1">
        <w:rPr>
          <w:lang w:val="en-US"/>
        </w:rPr>
        <w:t xml:space="preserve"> and business partners,</w:t>
      </w:r>
      <w:r w:rsidRPr="00B7431A">
        <w:rPr>
          <w:rFonts w:eastAsia="Arial"/>
          <w:szCs w:val="22"/>
          <w:lang w:val="en-GB" w:eastAsia="en-US"/>
          <w14:ligatures w14:val="standardContextual"/>
        </w:rPr>
        <w:t xml:space="preserve"> is monitored and reviewed on an ongoing basis, as appropriate. Any relevant matters identified are followed up internally. </w:t>
      </w:r>
    </w:p>
    <w:p w:rsidR="00B7431A" w:rsidRPr="00B7431A" w:rsidP="00B7431A" w14:paraId="57253E62" w14:textId="77777777">
      <w:pPr>
        <w:spacing w:after="160"/>
        <w:jc w:val="both"/>
        <w:rPr>
          <w:rFonts w:eastAsia="Aptos"/>
          <w:szCs w:val="22"/>
          <w:lang w:val="en-GB" w:eastAsia="en-US"/>
          <w14:ligatures w14:val="standardContextual"/>
        </w:rPr>
      </w:pPr>
    </w:p>
    <w:tbl>
      <w:tblPr>
        <w:tblStyle w:val="TableGrid3"/>
        <w:tblW w:w="0" w:type="auto"/>
        <w:tblLook w:val="04A0"/>
      </w:tblPr>
      <w:tblGrid>
        <w:gridCol w:w="3005"/>
        <w:gridCol w:w="3005"/>
        <w:gridCol w:w="3006"/>
      </w:tblGrid>
      <w:tr w14:paraId="414928DC" w14:textId="77777777" w:rsidTr="00B7431A">
        <w:tblPrEx>
          <w:tblW w:w="0" w:type="auto"/>
          <w:tblLook w:val="04A0"/>
        </w:tblPrEx>
        <w:tc>
          <w:tcPr>
            <w:tcW w:w="3005" w:type="dxa"/>
            <w:shd w:val="clear" w:color="auto" w:fill="D9D9D9"/>
          </w:tcPr>
          <w:p w:rsidR="00B7431A" w:rsidRPr="00B7431A" w:rsidP="00B7431A" w14:paraId="4AD71EA7" w14:textId="77777777">
            <w:pPr>
              <w:spacing w:after="160" w:line="259" w:lineRule="auto"/>
              <w:jc w:val="both"/>
              <w:rPr>
                <w:b/>
                <w:bCs/>
                <w:szCs w:val="22"/>
                <w:lang w:val="en-GB"/>
              </w:rPr>
            </w:pPr>
            <w:r w:rsidRPr="00B7431A">
              <w:rPr>
                <w:b/>
                <w:bCs/>
                <w:szCs w:val="22"/>
                <w:lang w:val="en-GB"/>
              </w:rPr>
              <w:t>Effective date</w:t>
            </w:r>
          </w:p>
          <w:p w:rsidR="00B7431A" w:rsidRPr="00B7431A" w:rsidP="00B7431A" w14:paraId="39BFB978" w14:textId="77777777">
            <w:pPr>
              <w:spacing w:after="160" w:line="259" w:lineRule="auto"/>
              <w:jc w:val="both"/>
              <w:rPr>
                <w:b/>
                <w:bCs/>
                <w:szCs w:val="22"/>
                <w:lang w:val="en-GB"/>
              </w:rPr>
            </w:pPr>
          </w:p>
        </w:tc>
        <w:tc>
          <w:tcPr>
            <w:tcW w:w="3005" w:type="dxa"/>
            <w:shd w:val="clear" w:color="auto" w:fill="D9D9D9"/>
          </w:tcPr>
          <w:p w:rsidR="00B7431A" w:rsidRPr="00B7431A" w:rsidP="00B7431A" w14:paraId="0B3B1168" w14:textId="77777777">
            <w:pPr>
              <w:spacing w:after="160" w:line="259" w:lineRule="auto"/>
              <w:jc w:val="both"/>
              <w:rPr>
                <w:b/>
                <w:bCs/>
                <w:szCs w:val="22"/>
                <w:lang w:val="en-GB"/>
              </w:rPr>
            </w:pPr>
            <w:r w:rsidRPr="00B7431A">
              <w:rPr>
                <w:b/>
                <w:bCs/>
                <w:szCs w:val="22"/>
                <w:lang w:val="en-GB"/>
              </w:rPr>
              <w:t>Version</w:t>
            </w:r>
          </w:p>
        </w:tc>
        <w:tc>
          <w:tcPr>
            <w:tcW w:w="3006" w:type="dxa"/>
            <w:shd w:val="clear" w:color="auto" w:fill="D9D9D9"/>
          </w:tcPr>
          <w:p w:rsidR="00B7431A" w:rsidRPr="00B7431A" w:rsidP="00B7431A" w14:paraId="741769F7" w14:textId="77777777">
            <w:pPr>
              <w:spacing w:after="160" w:line="259" w:lineRule="auto"/>
              <w:jc w:val="both"/>
              <w:rPr>
                <w:b/>
                <w:bCs/>
                <w:szCs w:val="22"/>
                <w:lang w:val="en-GB"/>
              </w:rPr>
            </w:pPr>
            <w:r w:rsidRPr="00B7431A">
              <w:rPr>
                <w:b/>
                <w:bCs/>
                <w:szCs w:val="22"/>
                <w:lang w:val="en-GB"/>
              </w:rPr>
              <w:t>Change description</w:t>
            </w:r>
          </w:p>
        </w:tc>
      </w:tr>
      <w:tr w14:paraId="4E73CA19" w14:textId="77777777" w:rsidTr="008C7A5D">
        <w:tblPrEx>
          <w:tblW w:w="0" w:type="auto"/>
          <w:tblLook w:val="04A0"/>
        </w:tblPrEx>
        <w:tc>
          <w:tcPr>
            <w:tcW w:w="3005" w:type="dxa"/>
          </w:tcPr>
          <w:p w:rsidR="00B7431A" w:rsidRPr="00B7431A" w:rsidP="00B7431A" w14:paraId="2EB14AC7" w14:textId="77777777">
            <w:pPr>
              <w:tabs>
                <w:tab w:val="left" w:pos="190"/>
              </w:tabs>
              <w:spacing w:after="160" w:line="259" w:lineRule="auto"/>
              <w:jc w:val="both"/>
              <w:rPr>
                <w:szCs w:val="22"/>
                <w:lang w:val="en-GB"/>
              </w:rPr>
            </w:pPr>
            <w:r w:rsidRPr="00B7431A">
              <w:rPr>
                <w:szCs w:val="22"/>
                <w:lang w:val="en-GB"/>
              </w:rPr>
              <w:t>20 December 2023</w:t>
            </w:r>
          </w:p>
          <w:p w:rsidR="00B7431A" w:rsidRPr="00B7431A" w:rsidP="00B7431A" w14:paraId="628E7960" w14:textId="77777777">
            <w:pPr>
              <w:tabs>
                <w:tab w:val="left" w:pos="190"/>
              </w:tabs>
              <w:spacing w:after="160" w:line="259" w:lineRule="auto"/>
              <w:jc w:val="both"/>
              <w:rPr>
                <w:szCs w:val="22"/>
                <w:lang w:val="en-GB"/>
              </w:rPr>
            </w:pPr>
          </w:p>
        </w:tc>
        <w:tc>
          <w:tcPr>
            <w:tcW w:w="3005" w:type="dxa"/>
          </w:tcPr>
          <w:p w:rsidR="00B7431A" w:rsidRPr="00B7431A" w:rsidP="00B7431A" w14:paraId="0ED343DA" w14:textId="77777777">
            <w:pPr>
              <w:spacing w:after="160" w:line="259" w:lineRule="auto"/>
              <w:jc w:val="both"/>
              <w:rPr>
                <w:szCs w:val="22"/>
                <w:lang w:val="en-GB"/>
              </w:rPr>
            </w:pPr>
            <w:r w:rsidRPr="00B7431A">
              <w:rPr>
                <w:szCs w:val="22"/>
                <w:lang w:val="en-GB"/>
              </w:rPr>
              <w:t>v1</w:t>
            </w:r>
          </w:p>
        </w:tc>
        <w:tc>
          <w:tcPr>
            <w:tcW w:w="3006" w:type="dxa"/>
          </w:tcPr>
          <w:p w:rsidR="00B7431A" w:rsidRPr="00B7431A" w:rsidP="00B7431A" w14:paraId="59DEABDB" w14:textId="77777777">
            <w:pPr>
              <w:spacing w:after="160" w:line="259" w:lineRule="auto"/>
              <w:jc w:val="both"/>
              <w:rPr>
                <w:szCs w:val="22"/>
                <w:lang w:val="en-GB"/>
              </w:rPr>
            </w:pPr>
            <w:r w:rsidRPr="00B7431A">
              <w:rPr>
                <w:szCs w:val="22"/>
                <w:lang w:val="en-GB"/>
              </w:rPr>
              <w:t>original</w:t>
            </w:r>
          </w:p>
        </w:tc>
      </w:tr>
      <w:tr w14:paraId="3888387F" w14:textId="77777777" w:rsidTr="008C7A5D">
        <w:tblPrEx>
          <w:tblW w:w="0" w:type="auto"/>
          <w:tblLook w:val="04A0"/>
        </w:tblPrEx>
        <w:tc>
          <w:tcPr>
            <w:tcW w:w="3005" w:type="dxa"/>
          </w:tcPr>
          <w:p w:rsidR="00B7431A" w:rsidRPr="00B7431A" w:rsidP="00B7431A" w14:paraId="4B1CFD3E" w14:textId="77777777">
            <w:pPr>
              <w:tabs>
                <w:tab w:val="left" w:pos="190"/>
              </w:tabs>
              <w:spacing w:after="160" w:line="259" w:lineRule="auto"/>
              <w:jc w:val="both"/>
              <w:rPr>
                <w:szCs w:val="22"/>
                <w:lang w:val="en-GB"/>
              </w:rPr>
            </w:pPr>
            <w:r w:rsidRPr="00B7431A">
              <w:rPr>
                <w:szCs w:val="22"/>
                <w:lang w:val="en-GB"/>
              </w:rPr>
              <w:t>2026</w:t>
            </w:r>
          </w:p>
        </w:tc>
        <w:tc>
          <w:tcPr>
            <w:tcW w:w="3005" w:type="dxa"/>
          </w:tcPr>
          <w:p w:rsidR="00B7431A" w:rsidRPr="00B7431A" w:rsidP="00B7431A" w14:paraId="322C1D66" w14:textId="77777777">
            <w:pPr>
              <w:spacing w:after="160" w:line="259" w:lineRule="auto"/>
              <w:jc w:val="both"/>
              <w:rPr>
                <w:szCs w:val="22"/>
                <w:lang w:val="en-GB"/>
              </w:rPr>
            </w:pPr>
            <w:r w:rsidRPr="00B7431A">
              <w:rPr>
                <w:szCs w:val="22"/>
                <w:lang w:val="en-GB"/>
              </w:rPr>
              <w:t>v2</w:t>
            </w:r>
          </w:p>
        </w:tc>
        <w:tc>
          <w:tcPr>
            <w:tcW w:w="3006" w:type="dxa"/>
          </w:tcPr>
          <w:p w:rsidR="00B7431A" w:rsidRPr="00B7431A" w:rsidP="00B7431A" w14:paraId="61709EC8" w14:textId="77777777">
            <w:pPr>
              <w:spacing w:after="160" w:line="259" w:lineRule="auto"/>
              <w:jc w:val="both"/>
              <w:rPr>
                <w:szCs w:val="22"/>
                <w:lang w:val="en-GB"/>
              </w:rPr>
            </w:pPr>
            <w:r w:rsidRPr="00B7431A">
              <w:rPr>
                <w:szCs w:val="22"/>
                <w:lang w:val="en-GB"/>
              </w:rPr>
              <w:t>updated</w:t>
            </w:r>
          </w:p>
        </w:tc>
      </w:tr>
    </w:tbl>
    <w:p w:rsidR="00B7431A" w:rsidRPr="00B7431A" w:rsidP="00B7431A" w14:paraId="5CEC31CF" w14:textId="77777777">
      <w:pPr>
        <w:spacing w:after="160"/>
        <w:jc w:val="both"/>
        <w:rPr>
          <w:rFonts w:eastAsia="Aptos"/>
          <w:szCs w:val="22"/>
          <w:lang w:val="en-GB" w:eastAsia="en-US"/>
          <w14:ligatures w14:val="standardContextual"/>
        </w:rPr>
      </w:pPr>
    </w:p>
    <w:p w:rsidR="00F14E29" w:rsidRPr="00B7431A" w:rsidP="00B7431A" w14:paraId="10CAC490" w14:textId="77777777"/>
    <w:sectPr w:rsidSect="004C753D">
      <w:headerReference w:type="default" r:id="rId4"/>
      <w:footerReference w:type="default" r:id="rId5"/>
      <w:type w:val="continuous"/>
      <w:pgSz w:w="11906" w:h="16838" w:code="9"/>
      <w:pgMar w:top="2127" w:right="851" w:bottom="1135" w:left="851" w:header="289" w:footer="28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2BF8" w:rsidRPr="00C26343" w:rsidP="001A6184" w14:paraId="729F0CE5" w14:textId="77777777">
    <w:pPr>
      <w:pStyle w:val="Footer"/>
      <w:tabs>
        <w:tab w:val="left" w:leader="underscore" w:pos="3232"/>
        <w:tab w:val="clear" w:pos="4819"/>
        <w:tab w:val="left" w:leader="underscore" w:pos="6974"/>
        <w:tab w:val="clear" w:pos="9638"/>
        <w:tab w:val="left" w:leader="underscore" w:pos="10036"/>
      </w:tabs>
      <w:spacing w:line="160" w:lineRule="exact"/>
      <w:rPr>
        <w:b/>
        <w:sz w:val="12"/>
        <w:szCs w:val="12"/>
      </w:rPr>
    </w:pPr>
  </w:p>
  <w:p w:rsidR="00F42BF8" w:rsidRPr="007132DB" w:rsidP="001A6184" w14:paraId="729F0CE8" w14:textId="71F99C3F">
    <w:pPr>
      <w:pStyle w:val="Footer"/>
      <w:tabs>
        <w:tab w:val="left" w:pos="3402"/>
        <w:tab w:val="clear" w:pos="4819"/>
        <w:tab w:val="left" w:pos="6804"/>
        <w:tab w:val="clear" w:pos="9638"/>
        <w:tab w:val="left" w:pos="10206"/>
      </w:tabs>
      <w:spacing w:line="160" w:lineRule="exact"/>
      <w:rPr>
        <w:sz w:val="12"/>
        <w:szCs w:val="1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2BF8" w14:paraId="729F0CE0" w14:textId="2A6A738A">
    <w:pPr>
      <w:pStyle w:val="Header"/>
    </w:pPr>
    <w:r>
      <w:rPr>
        <w:noProof/>
      </w:rPr>
      <w:drawing>
        <wp:anchor distT="0" distB="0" distL="114300" distR="114300" simplePos="0" relativeHeight="251658240" behindDoc="0" locked="0" layoutInCell="1" allowOverlap="1">
          <wp:simplePos x="0" y="0"/>
          <wp:positionH relativeFrom="column">
            <wp:posOffset>-149225</wp:posOffset>
          </wp:positionH>
          <wp:positionV relativeFrom="paragraph">
            <wp:posOffset>165735</wp:posOffset>
          </wp:positionV>
          <wp:extent cx="1450776" cy="620990"/>
          <wp:effectExtent l="0" t="0" r="0" b="0"/>
          <wp:wrapNone/>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va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450776" cy="620990"/>
                  </a:xfrm>
                  <a:prstGeom prst="rect">
                    <a:avLst/>
                  </a:prstGeom>
                </pic:spPr>
              </pic:pic>
            </a:graphicData>
          </a:graphic>
          <wp14:sizeRelH relativeFrom="margin">
            <wp14:pctWidth>0</wp14:pctWidth>
          </wp14:sizeRelH>
          <wp14:sizeRelV relativeFrom="margin">
            <wp14:pctHeight>0</wp14:pctHeight>
          </wp14:sizeRelV>
        </wp:anchor>
      </w:drawing>
    </w:r>
    <w:r>
      <w:tab/>
    </w:r>
  </w:p>
  <w:p w:rsidR="00F42BF8" w:rsidRPr="00526E33" w14:paraId="729F0CE1" w14:textId="749244E8">
    <w:pPr>
      <w:pStyle w:val="Header"/>
      <w:rPr>
        <w:rFonts w:ascii="Calibri" w:hAnsi="Calibri"/>
      </w:rPr>
    </w:pPr>
    <w:r>
      <w:tab/>
    </w:r>
  </w:p>
  <w:p w:rsidR="00957974" w:rsidP="00957974" w14:paraId="3420DF22" w14:textId="23B615A6">
    <w:pPr>
      <w:pStyle w:val="Header"/>
      <w:tabs>
        <w:tab w:val="clear" w:pos="4819"/>
        <w:tab w:val="center" w:pos="5387"/>
        <w:tab w:val="right" w:pos="8222"/>
        <w:tab w:val="clear" w:pos="9638"/>
      </w:tabs>
    </w:pPr>
    <w:r>
      <w:rPr>
        <w:rFonts w:ascii="Calibri" w:hAnsi="Calibri"/>
      </w:rPr>
      <w:tab/>
      <w:tab/>
    </w:r>
    <w:r>
      <w:tab/>
    </w:r>
    <w:r>
      <w:fldChar w:fldCharType="begin"/>
    </w:r>
    <w:r>
      <w:instrText>PAGE   \* MERGEFORMAT</w:instrText>
    </w:r>
    <w:r>
      <w:fldChar w:fldCharType="separate"/>
    </w:r>
    <w:r w:rsidR="00857D4D">
      <w:rPr>
        <w:noProof/>
      </w:rPr>
      <w:t>1</w:t>
    </w:r>
    <w:r>
      <w:fldChar w:fldCharType="end"/>
    </w:r>
    <w:r>
      <w:t xml:space="preserve"> (</w:t>
    </w:r>
    <w:r>
      <w:fldChar w:fldCharType="begin"/>
    </w:r>
    <w:r>
      <w:instrText>NUMPAGES   \* MERGEFORMAT</w:instrText>
    </w:r>
    <w:r>
      <w:fldChar w:fldCharType="separate"/>
    </w:r>
    <w:r w:rsidR="00857D4D">
      <w:rPr>
        <w:noProof/>
      </w:rPr>
      <w:t>1</w:t>
    </w:r>
    <w:r w:rsidR="00857D4D">
      <w:rPr>
        <w:noProof/>
      </w:rPr>
      <w:fldChar w:fldCharType="end"/>
    </w:r>
    <w:r>
      <w:t>)</w:t>
    </w:r>
  </w:p>
  <w:p w:rsidR="007F4466" w:rsidP="007F4466" w14:paraId="26A05EB6" w14:textId="77777777">
    <w:pPr>
      <w:pStyle w:val="Header"/>
      <w:tabs>
        <w:tab w:val="clear" w:pos="4819"/>
        <w:tab w:val="center" w:pos="5387"/>
        <w:tab w:val="right" w:pos="8222"/>
        <w:tab w:val="clear" w:pos="9638"/>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1B82656"/>
    <w:multiLevelType w:val="hybridMultilevel"/>
    <w:tmpl w:val="22D83206"/>
    <w:lvl w:ilvl="0">
      <w:start w:val="1"/>
      <w:numFmt w:val="lowerLetter"/>
      <w:lvlText w:val="%1."/>
      <w:lvlJc w:val="left"/>
      <w:pPr>
        <w:ind w:left="1080" w:hanging="360"/>
      </w:pPr>
      <w:rPr>
        <w:rFonts w:ascii="Arial" w:eastAsia="Times New Roman" w:hAnsi="Arial" w:cs="Arial"/>
      </w:rPr>
    </w:lvl>
    <w:lvl w:ilvl="1">
      <w:start w:val="1"/>
      <w:numFmt w:val="bullet"/>
      <w:lvlText w:val=""/>
      <w:lvlJc w:val="left"/>
      <w:pPr>
        <w:ind w:left="1800" w:hanging="360"/>
      </w:pPr>
      <w:rPr>
        <w:rFonts w:ascii="Symbol" w:hAnsi="Symbol"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15:restartNumberingAfterBreak="0">
    <w:nsid w:val="06872190"/>
    <w:multiLevelType w:val="hybridMultilevel"/>
    <w:tmpl w:val="7398096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15:restartNumberingAfterBreak="0">
    <w:nsid w:val="0974475E"/>
    <w:multiLevelType w:val="hybridMultilevel"/>
    <w:tmpl w:val="4B3A75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0AD25062"/>
    <w:multiLevelType w:val="multilevel"/>
    <w:tmpl w:val="B9487862"/>
    <w:lvl w:ilvl="0">
      <w:start w:val="4"/>
      <w:numFmt w:val="decimal"/>
      <w:lvlText w:val="%1."/>
      <w:lvlJc w:val="left"/>
      <w:pPr>
        <w:ind w:left="360" w:hanging="360"/>
      </w:pPr>
      <w:rPr>
        <w:rFonts w:ascii="Arial" w:hAnsi="Arial" w:cs="Arial" w:hint="default"/>
        <w:b/>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DE53A78"/>
    <w:multiLevelType w:val="hybridMultilevel"/>
    <w:tmpl w:val="A5A8C99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15:restartNumberingAfterBreak="0">
    <w:nsid w:val="11CF732B"/>
    <w:multiLevelType w:val="hybridMultilevel"/>
    <w:tmpl w:val="D48E0526"/>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6" w15:restartNumberingAfterBreak="0">
    <w:nsid w:val="17B53DFA"/>
    <w:multiLevelType w:val="hybridMultilevel"/>
    <w:tmpl w:val="BF909BF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A2327A"/>
    <w:multiLevelType w:val="multilevel"/>
    <w:tmpl w:val="8F30968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1C4836D2"/>
    <w:multiLevelType w:val="hybridMultilevel"/>
    <w:tmpl w:val="AC4EC03A"/>
    <w:lvl w:ilvl="0">
      <w:start w:val="0"/>
      <w:numFmt w:val="bullet"/>
      <w:lvlText w:val="-"/>
      <w:lvlJc w:val="left"/>
      <w:pPr>
        <w:tabs>
          <w:tab w:val="num" w:pos="360"/>
        </w:tabs>
        <w:ind w:left="360" w:hanging="360"/>
      </w:pPr>
      <w:rPr>
        <w:rFonts w:ascii="Gill Sans MT" w:eastAsia="Times New Roman" w:hAnsi="Gill Sans MT" w:cs="Wingdings" w:hint="default"/>
      </w:rPr>
    </w:lvl>
    <w:lvl w:ilvl="1" w:tentative="1">
      <w:start w:val="1"/>
      <w:numFmt w:val="bullet"/>
      <w:lvlText w:val="o"/>
      <w:lvlJc w:val="left"/>
      <w:pPr>
        <w:tabs>
          <w:tab w:val="num" w:pos="136"/>
        </w:tabs>
        <w:ind w:left="136" w:hanging="360"/>
      </w:pPr>
      <w:rPr>
        <w:rFonts w:ascii="Courier New" w:hAnsi="Courier New" w:cs="Wingdings" w:hint="default"/>
      </w:rPr>
    </w:lvl>
    <w:lvl w:ilvl="2" w:tentative="1">
      <w:start w:val="1"/>
      <w:numFmt w:val="bullet"/>
      <w:lvlText w:val=""/>
      <w:lvlJc w:val="left"/>
      <w:pPr>
        <w:tabs>
          <w:tab w:val="num" w:pos="856"/>
        </w:tabs>
        <w:ind w:left="856" w:hanging="360"/>
      </w:pPr>
      <w:rPr>
        <w:rFonts w:ascii="Wingdings" w:hAnsi="Wingdings" w:hint="default"/>
      </w:rPr>
    </w:lvl>
    <w:lvl w:ilvl="3" w:tentative="1">
      <w:start w:val="1"/>
      <w:numFmt w:val="bullet"/>
      <w:lvlText w:val=""/>
      <w:lvlJc w:val="left"/>
      <w:pPr>
        <w:tabs>
          <w:tab w:val="num" w:pos="1576"/>
        </w:tabs>
        <w:ind w:left="1576" w:hanging="360"/>
      </w:pPr>
      <w:rPr>
        <w:rFonts w:ascii="Symbol" w:hAnsi="Symbol" w:hint="default"/>
      </w:rPr>
    </w:lvl>
    <w:lvl w:ilvl="4" w:tentative="1">
      <w:start w:val="1"/>
      <w:numFmt w:val="bullet"/>
      <w:lvlText w:val="o"/>
      <w:lvlJc w:val="left"/>
      <w:pPr>
        <w:tabs>
          <w:tab w:val="num" w:pos="2296"/>
        </w:tabs>
        <w:ind w:left="2296" w:hanging="360"/>
      </w:pPr>
      <w:rPr>
        <w:rFonts w:ascii="Courier New" w:hAnsi="Courier New" w:cs="Wingdings" w:hint="default"/>
      </w:rPr>
    </w:lvl>
    <w:lvl w:ilvl="5" w:tentative="1">
      <w:start w:val="1"/>
      <w:numFmt w:val="bullet"/>
      <w:lvlText w:val=""/>
      <w:lvlJc w:val="left"/>
      <w:pPr>
        <w:tabs>
          <w:tab w:val="num" w:pos="3016"/>
        </w:tabs>
        <w:ind w:left="3016" w:hanging="360"/>
      </w:pPr>
      <w:rPr>
        <w:rFonts w:ascii="Wingdings" w:hAnsi="Wingdings" w:hint="default"/>
      </w:rPr>
    </w:lvl>
    <w:lvl w:ilvl="6" w:tentative="1">
      <w:start w:val="1"/>
      <w:numFmt w:val="bullet"/>
      <w:lvlText w:val=""/>
      <w:lvlJc w:val="left"/>
      <w:pPr>
        <w:tabs>
          <w:tab w:val="num" w:pos="3736"/>
        </w:tabs>
        <w:ind w:left="3736" w:hanging="360"/>
      </w:pPr>
      <w:rPr>
        <w:rFonts w:ascii="Symbol" w:hAnsi="Symbol" w:hint="default"/>
      </w:rPr>
    </w:lvl>
    <w:lvl w:ilvl="7" w:tentative="1">
      <w:start w:val="1"/>
      <w:numFmt w:val="bullet"/>
      <w:lvlText w:val="o"/>
      <w:lvlJc w:val="left"/>
      <w:pPr>
        <w:tabs>
          <w:tab w:val="num" w:pos="4456"/>
        </w:tabs>
        <w:ind w:left="4456" w:hanging="360"/>
      </w:pPr>
      <w:rPr>
        <w:rFonts w:ascii="Courier New" w:hAnsi="Courier New" w:cs="Wingdings" w:hint="default"/>
      </w:rPr>
    </w:lvl>
    <w:lvl w:ilvl="8" w:tentative="1">
      <w:start w:val="1"/>
      <w:numFmt w:val="bullet"/>
      <w:lvlText w:val=""/>
      <w:lvlJc w:val="left"/>
      <w:pPr>
        <w:tabs>
          <w:tab w:val="num" w:pos="5176"/>
        </w:tabs>
        <w:ind w:left="5176" w:hanging="360"/>
      </w:pPr>
      <w:rPr>
        <w:rFonts w:ascii="Wingdings" w:hAnsi="Wingdings" w:hint="default"/>
      </w:rPr>
    </w:lvl>
  </w:abstractNum>
  <w:abstractNum w:abstractNumId="9" w15:restartNumberingAfterBreak="0">
    <w:nsid w:val="1CCF7040"/>
    <w:multiLevelType w:val="hybridMultilevel"/>
    <w:tmpl w:val="535C8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1D416BEF"/>
    <w:multiLevelType w:val="hybridMultilevel"/>
    <w:tmpl w:val="F5D200B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D23D76"/>
    <w:multiLevelType w:val="hybridMultilevel"/>
    <w:tmpl w:val="0EC270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1E6D04C5"/>
    <w:multiLevelType w:val="hybridMultilevel"/>
    <w:tmpl w:val="5AD2A7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1F9425F2"/>
    <w:multiLevelType w:val="hybridMultilevel"/>
    <w:tmpl w:val="05E469F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6A7E2E"/>
    <w:multiLevelType w:val="hybridMultilevel"/>
    <w:tmpl w:val="533A548A"/>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5" w15:restartNumberingAfterBreak="0">
    <w:nsid w:val="29BB17A5"/>
    <w:multiLevelType w:val="hybridMultilevel"/>
    <w:tmpl w:val="91E235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29F010DB"/>
    <w:multiLevelType w:val="hybridMultilevel"/>
    <w:tmpl w:val="C5BC450A"/>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5236F5"/>
    <w:multiLevelType w:val="hybridMultilevel"/>
    <w:tmpl w:val="F7BEC534"/>
    <w:lvl w:ilvl="0">
      <w:start w:val="0"/>
      <w:numFmt w:val="bullet"/>
      <w:lvlText w:val="-"/>
      <w:lvlJc w:val="left"/>
      <w:pPr>
        <w:tabs>
          <w:tab w:val="num" w:pos="1664"/>
        </w:tabs>
        <w:ind w:left="1664" w:hanging="360"/>
      </w:pPr>
      <w:rPr>
        <w:rFonts w:ascii="Gill Sans MT" w:eastAsia="Times New Roman" w:hAnsi="Gill Sans MT" w:cs="Wingdings" w:hint="default"/>
      </w:rPr>
    </w:lvl>
    <w:lvl w:ilvl="1" w:tentative="1">
      <w:start w:val="1"/>
      <w:numFmt w:val="bullet"/>
      <w:lvlText w:val="o"/>
      <w:lvlJc w:val="left"/>
      <w:pPr>
        <w:tabs>
          <w:tab w:val="num" w:pos="2384"/>
        </w:tabs>
        <w:ind w:left="2384" w:hanging="360"/>
      </w:pPr>
      <w:rPr>
        <w:rFonts w:ascii="Courier New" w:hAnsi="Courier New" w:cs="Wingdings" w:hint="default"/>
      </w:rPr>
    </w:lvl>
    <w:lvl w:ilvl="2" w:tentative="1">
      <w:start w:val="1"/>
      <w:numFmt w:val="bullet"/>
      <w:lvlText w:val=""/>
      <w:lvlJc w:val="left"/>
      <w:pPr>
        <w:tabs>
          <w:tab w:val="num" w:pos="3104"/>
        </w:tabs>
        <w:ind w:left="3104" w:hanging="360"/>
      </w:pPr>
      <w:rPr>
        <w:rFonts w:ascii="Wingdings" w:hAnsi="Wingdings" w:hint="default"/>
      </w:rPr>
    </w:lvl>
    <w:lvl w:ilvl="3" w:tentative="1">
      <w:start w:val="1"/>
      <w:numFmt w:val="bullet"/>
      <w:lvlText w:val=""/>
      <w:lvlJc w:val="left"/>
      <w:pPr>
        <w:tabs>
          <w:tab w:val="num" w:pos="3824"/>
        </w:tabs>
        <w:ind w:left="3824" w:hanging="360"/>
      </w:pPr>
      <w:rPr>
        <w:rFonts w:ascii="Symbol" w:hAnsi="Symbol" w:hint="default"/>
      </w:rPr>
    </w:lvl>
    <w:lvl w:ilvl="4" w:tentative="1">
      <w:start w:val="1"/>
      <w:numFmt w:val="bullet"/>
      <w:lvlText w:val="o"/>
      <w:lvlJc w:val="left"/>
      <w:pPr>
        <w:tabs>
          <w:tab w:val="num" w:pos="4544"/>
        </w:tabs>
        <w:ind w:left="4544" w:hanging="360"/>
      </w:pPr>
      <w:rPr>
        <w:rFonts w:ascii="Courier New" w:hAnsi="Courier New" w:cs="Wingdings" w:hint="default"/>
      </w:rPr>
    </w:lvl>
    <w:lvl w:ilvl="5" w:tentative="1">
      <w:start w:val="1"/>
      <w:numFmt w:val="bullet"/>
      <w:lvlText w:val=""/>
      <w:lvlJc w:val="left"/>
      <w:pPr>
        <w:tabs>
          <w:tab w:val="num" w:pos="5264"/>
        </w:tabs>
        <w:ind w:left="5264" w:hanging="360"/>
      </w:pPr>
      <w:rPr>
        <w:rFonts w:ascii="Wingdings" w:hAnsi="Wingdings" w:hint="default"/>
      </w:rPr>
    </w:lvl>
    <w:lvl w:ilvl="6" w:tentative="1">
      <w:start w:val="1"/>
      <w:numFmt w:val="bullet"/>
      <w:lvlText w:val=""/>
      <w:lvlJc w:val="left"/>
      <w:pPr>
        <w:tabs>
          <w:tab w:val="num" w:pos="5984"/>
        </w:tabs>
        <w:ind w:left="5984" w:hanging="360"/>
      </w:pPr>
      <w:rPr>
        <w:rFonts w:ascii="Symbol" w:hAnsi="Symbol" w:hint="default"/>
      </w:rPr>
    </w:lvl>
    <w:lvl w:ilvl="7" w:tentative="1">
      <w:start w:val="1"/>
      <w:numFmt w:val="bullet"/>
      <w:lvlText w:val="o"/>
      <w:lvlJc w:val="left"/>
      <w:pPr>
        <w:tabs>
          <w:tab w:val="num" w:pos="6704"/>
        </w:tabs>
        <w:ind w:left="6704" w:hanging="360"/>
      </w:pPr>
      <w:rPr>
        <w:rFonts w:ascii="Courier New" w:hAnsi="Courier New" w:cs="Wingdings" w:hint="default"/>
      </w:rPr>
    </w:lvl>
    <w:lvl w:ilvl="8" w:tentative="1">
      <w:start w:val="1"/>
      <w:numFmt w:val="bullet"/>
      <w:lvlText w:val=""/>
      <w:lvlJc w:val="left"/>
      <w:pPr>
        <w:tabs>
          <w:tab w:val="num" w:pos="7424"/>
        </w:tabs>
        <w:ind w:left="7424" w:hanging="360"/>
      </w:pPr>
      <w:rPr>
        <w:rFonts w:ascii="Wingdings" w:hAnsi="Wingdings" w:hint="default"/>
      </w:rPr>
    </w:lvl>
  </w:abstractNum>
  <w:abstractNum w:abstractNumId="18" w15:restartNumberingAfterBreak="0">
    <w:nsid w:val="30765F9A"/>
    <w:multiLevelType w:val="hybridMultilevel"/>
    <w:tmpl w:val="5D96CF52"/>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34C66078"/>
    <w:multiLevelType w:val="hybridMultilevel"/>
    <w:tmpl w:val="1892085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start w:val="0"/>
      <w:numFmt w:val="none"/>
      <w:lvlJc w:val="left"/>
      <w:pPr>
        <w:tabs>
          <w:tab w:val="num" w:pos="360"/>
        </w:tabs>
      </w:p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A3722C"/>
    <w:multiLevelType w:val="multilevel"/>
    <w:tmpl w:val="192E6E5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379EE252"/>
    <w:multiLevelType w:val="hybridMultilevel"/>
    <w:tmpl w:val="27C6598C"/>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B032D52"/>
    <w:multiLevelType w:val="hybridMultilevel"/>
    <w:tmpl w:val="644049A8"/>
    <w:lvl w:ilvl="0">
      <w:start w:val="1"/>
      <w:numFmt w:val="lowerLetter"/>
      <w:lvlText w:val="%1."/>
      <w:lvlJc w:val="left"/>
      <w:pPr>
        <w:ind w:left="2520" w:hanging="360"/>
      </w:pPr>
      <w:rPr>
        <w:rFonts w:hint="default"/>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23" w15:restartNumberingAfterBreak="0">
    <w:nsid w:val="3C3924C1"/>
    <w:multiLevelType w:val="multilevel"/>
    <w:tmpl w:val="68B691CA"/>
    <w:lvl w:ilvl="0">
      <w:start w:val="1"/>
      <w:numFmt w:val="decimal"/>
      <w:lvlText w:val="%1."/>
      <w:lvlJc w:val="left"/>
      <w:pPr>
        <w:tabs>
          <w:tab w:val="num" w:pos="360"/>
        </w:tabs>
        <w:ind w:left="0" w:firstLine="0"/>
      </w:pPr>
      <w:rPr>
        <w:rFonts w:hint="default"/>
        <w:b/>
        <w:sz w:val="18"/>
      </w:rPr>
    </w:lvl>
    <w:lvl w:ilvl="1">
      <w:start w:val="1"/>
      <w:numFmt w:val="decimal"/>
      <w:lvlText w:val="%1.%2."/>
      <w:lvlJc w:val="left"/>
      <w:pPr>
        <w:tabs>
          <w:tab w:val="num" w:pos="454"/>
        </w:tabs>
        <w:ind w:left="0" w:firstLine="0"/>
      </w:pPr>
      <w:rPr>
        <w:rFonts w:ascii="Arial" w:hAnsi="Arial" w:cs="Arial" w:hint="default"/>
        <w:b/>
        <w:i w:val="0"/>
      </w:rPr>
    </w:lvl>
    <w:lvl w:ilvl="2">
      <w:start w:val="1"/>
      <w:numFmt w:val="decimal"/>
      <w:lvlText w:val="%1.%2.%3."/>
      <w:lvlJc w:val="left"/>
      <w:pPr>
        <w:tabs>
          <w:tab w:val="num" w:pos="510"/>
        </w:tabs>
        <w:ind w:left="0" w:firstLine="0"/>
      </w:pPr>
      <w:rPr>
        <w:rFonts w:hint="default"/>
        <w:b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42557F9F"/>
    <w:multiLevelType w:val="multilevel"/>
    <w:tmpl w:val="0B28750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sz w:val="20"/>
        <w:szCs w:val="2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27E14D4"/>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6155487"/>
    <w:multiLevelType w:val="hybridMultilevel"/>
    <w:tmpl w:val="EDA457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15:restartNumberingAfterBreak="0">
    <w:nsid w:val="48176D25"/>
    <w:multiLevelType w:val="hybridMultilevel"/>
    <w:tmpl w:val="CF44F63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15:restartNumberingAfterBreak="0">
    <w:nsid w:val="5068686B"/>
    <w:multiLevelType w:val="hybridMultilevel"/>
    <w:tmpl w:val="3EC0D34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4C1B83"/>
    <w:multiLevelType w:val="hybridMultilevel"/>
    <w:tmpl w:val="43F4473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5477D7"/>
    <w:multiLevelType w:val="multilevel"/>
    <w:tmpl w:val="AC4EC03A"/>
    <w:lvl w:ilvl="0">
      <w:start w:val="0"/>
      <w:numFmt w:val="bullet"/>
      <w:lvlText w:val="-"/>
      <w:lvlJc w:val="left"/>
      <w:pPr>
        <w:tabs>
          <w:tab w:val="num" w:pos="360"/>
        </w:tabs>
        <w:ind w:left="360" w:hanging="360"/>
      </w:pPr>
      <w:rPr>
        <w:rFonts w:ascii="Gill Sans MT" w:eastAsia="Times New Roman" w:hAnsi="Gill Sans MT" w:cs="Wingdings" w:hint="default"/>
      </w:rPr>
    </w:lvl>
    <w:lvl w:ilvl="1">
      <w:start w:val="1"/>
      <w:numFmt w:val="bullet"/>
      <w:lvlText w:val="o"/>
      <w:lvlJc w:val="left"/>
      <w:pPr>
        <w:tabs>
          <w:tab w:val="num" w:pos="136"/>
        </w:tabs>
        <w:ind w:left="136" w:hanging="360"/>
      </w:pPr>
      <w:rPr>
        <w:rFonts w:ascii="Courier New" w:hAnsi="Courier New" w:cs="Wingdings" w:hint="default"/>
      </w:rPr>
    </w:lvl>
    <w:lvl w:ilvl="2">
      <w:start w:val="1"/>
      <w:numFmt w:val="bullet"/>
      <w:lvlText w:val=""/>
      <w:lvlJc w:val="left"/>
      <w:pPr>
        <w:tabs>
          <w:tab w:val="num" w:pos="856"/>
        </w:tabs>
        <w:ind w:left="856" w:hanging="360"/>
      </w:pPr>
      <w:rPr>
        <w:rFonts w:ascii="Wingdings" w:hAnsi="Wingdings" w:hint="default"/>
      </w:rPr>
    </w:lvl>
    <w:lvl w:ilvl="3">
      <w:start w:val="1"/>
      <w:numFmt w:val="bullet"/>
      <w:lvlText w:val=""/>
      <w:lvlJc w:val="left"/>
      <w:pPr>
        <w:tabs>
          <w:tab w:val="num" w:pos="1576"/>
        </w:tabs>
        <w:ind w:left="1576" w:hanging="360"/>
      </w:pPr>
      <w:rPr>
        <w:rFonts w:ascii="Symbol" w:hAnsi="Symbol" w:hint="default"/>
      </w:rPr>
    </w:lvl>
    <w:lvl w:ilvl="4">
      <w:start w:val="1"/>
      <w:numFmt w:val="bullet"/>
      <w:lvlText w:val="o"/>
      <w:lvlJc w:val="left"/>
      <w:pPr>
        <w:tabs>
          <w:tab w:val="num" w:pos="2296"/>
        </w:tabs>
        <w:ind w:left="2296" w:hanging="360"/>
      </w:pPr>
      <w:rPr>
        <w:rFonts w:ascii="Courier New" w:hAnsi="Courier New" w:cs="Wingdings" w:hint="default"/>
      </w:rPr>
    </w:lvl>
    <w:lvl w:ilvl="5">
      <w:start w:val="1"/>
      <w:numFmt w:val="bullet"/>
      <w:lvlText w:val=""/>
      <w:lvlJc w:val="left"/>
      <w:pPr>
        <w:tabs>
          <w:tab w:val="num" w:pos="3016"/>
        </w:tabs>
        <w:ind w:left="3016" w:hanging="360"/>
      </w:pPr>
      <w:rPr>
        <w:rFonts w:ascii="Wingdings" w:hAnsi="Wingdings" w:hint="default"/>
      </w:rPr>
    </w:lvl>
    <w:lvl w:ilvl="6">
      <w:start w:val="1"/>
      <w:numFmt w:val="bullet"/>
      <w:lvlText w:val=""/>
      <w:lvlJc w:val="left"/>
      <w:pPr>
        <w:tabs>
          <w:tab w:val="num" w:pos="3736"/>
        </w:tabs>
        <w:ind w:left="3736" w:hanging="360"/>
      </w:pPr>
      <w:rPr>
        <w:rFonts w:ascii="Symbol" w:hAnsi="Symbol" w:hint="default"/>
      </w:rPr>
    </w:lvl>
    <w:lvl w:ilvl="7">
      <w:start w:val="1"/>
      <w:numFmt w:val="bullet"/>
      <w:lvlText w:val="o"/>
      <w:lvlJc w:val="left"/>
      <w:pPr>
        <w:tabs>
          <w:tab w:val="num" w:pos="4456"/>
        </w:tabs>
        <w:ind w:left="4456" w:hanging="360"/>
      </w:pPr>
      <w:rPr>
        <w:rFonts w:ascii="Courier New" w:hAnsi="Courier New" w:cs="Wingdings" w:hint="default"/>
      </w:rPr>
    </w:lvl>
    <w:lvl w:ilvl="8">
      <w:start w:val="1"/>
      <w:numFmt w:val="bullet"/>
      <w:lvlText w:val=""/>
      <w:lvlJc w:val="left"/>
      <w:pPr>
        <w:tabs>
          <w:tab w:val="num" w:pos="5176"/>
        </w:tabs>
        <w:ind w:left="5176" w:hanging="360"/>
      </w:pPr>
      <w:rPr>
        <w:rFonts w:ascii="Wingdings" w:hAnsi="Wingdings" w:hint="default"/>
      </w:rPr>
    </w:lvl>
  </w:abstractNum>
  <w:abstractNum w:abstractNumId="31" w15:restartNumberingAfterBreak="0">
    <w:nsid w:val="54C26B83"/>
    <w:multiLevelType w:val="hybridMultilevel"/>
    <w:tmpl w:val="C0668A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15:restartNumberingAfterBreak="0">
    <w:nsid w:val="557948C9"/>
    <w:multiLevelType w:val="hybridMultilevel"/>
    <w:tmpl w:val="036214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15:restartNumberingAfterBreak="0">
    <w:nsid w:val="59D62AD1"/>
    <w:multiLevelType w:val="hybridMultilevel"/>
    <w:tmpl w:val="BA3AE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0"/>
      <w:numFmt w:val="none"/>
      <w:lvlJc w:val="left"/>
      <w:pPr>
        <w:tabs>
          <w:tab w:val="num" w:pos="360"/>
        </w:tabs>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9E32B57"/>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E1178BB"/>
    <w:multiLevelType w:val="multilevel"/>
    <w:tmpl w:val="0B28750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sz w:val="20"/>
        <w:szCs w:val="20"/>
      </w:rPr>
    </w:lvl>
    <w:lvl w:ilvl="2">
      <w:start w:val="1"/>
      <w:numFmt w:val="decimal"/>
      <w:lvlText w:val="%1.%2.%3."/>
      <w:lvlJc w:val="left"/>
      <w:pPr>
        <w:tabs>
          <w:tab w:val="num" w:pos="1440"/>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61D5009C"/>
    <w:multiLevelType w:val="hybridMultilevel"/>
    <w:tmpl w:val="FBF2F54E"/>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0"/>
      <w:numFmt w:val="none"/>
      <w:lvlJc w:val="left"/>
      <w:pPr>
        <w:tabs>
          <w:tab w:val="num" w:pos="360"/>
        </w:tabs>
      </w:p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1F13B3"/>
    <w:multiLevelType w:val="hybridMultilevel"/>
    <w:tmpl w:val="8F30968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654F509B"/>
    <w:multiLevelType w:val="hybridMultilevel"/>
    <w:tmpl w:val="1250DD40"/>
    <w:lvl w:ilvl="0">
      <w:start w:val="1"/>
      <w:numFmt w:val="bullet"/>
      <w:lvlText w:val=""/>
      <w:lvlJc w:val="left"/>
      <w:pPr>
        <w:ind w:left="1077" w:hanging="360"/>
      </w:pPr>
      <w:rPr>
        <w:rFonts w:ascii="Symbol" w:hAnsi="Symbol" w:hint="default"/>
      </w:rPr>
    </w:lvl>
    <w:lvl w:ilvl="1" w:tentative="1">
      <w:start w:val="1"/>
      <w:numFmt w:val="bullet"/>
      <w:lvlText w:val="o"/>
      <w:lvlJc w:val="left"/>
      <w:pPr>
        <w:ind w:left="1797" w:hanging="360"/>
      </w:pPr>
      <w:rPr>
        <w:rFonts w:ascii="Courier New" w:hAnsi="Courier New" w:cs="Courier New" w:hint="default"/>
      </w:rPr>
    </w:lvl>
    <w:lvl w:ilvl="2" w:tentative="1">
      <w:start w:val="1"/>
      <w:numFmt w:val="bullet"/>
      <w:lvlText w:val=""/>
      <w:lvlJc w:val="left"/>
      <w:pPr>
        <w:ind w:left="2517" w:hanging="360"/>
      </w:pPr>
      <w:rPr>
        <w:rFonts w:ascii="Wingdings" w:hAnsi="Wingdings" w:hint="default"/>
      </w:rPr>
    </w:lvl>
    <w:lvl w:ilvl="3" w:tentative="1">
      <w:start w:val="1"/>
      <w:numFmt w:val="bullet"/>
      <w:lvlText w:val=""/>
      <w:lvlJc w:val="left"/>
      <w:pPr>
        <w:ind w:left="3237" w:hanging="360"/>
      </w:pPr>
      <w:rPr>
        <w:rFonts w:ascii="Symbol" w:hAnsi="Symbol" w:hint="default"/>
      </w:rPr>
    </w:lvl>
    <w:lvl w:ilvl="4" w:tentative="1">
      <w:start w:val="1"/>
      <w:numFmt w:val="bullet"/>
      <w:lvlText w:val="o"/>
      <w:lvlJc w:val="left"/>
      <w:pPr>
        <w:ind w:left="3957" w:hanging="360"/>
      </w:pPr>
      <w:rPr>
        <w:rFonts w:ascii="Courier New" w:hAnsi="Courier New" w:cs="Courier New" w:hint="default"/>
      </w:rPr>
    </w:lvl>
    <w:lvl w:ilvl="5" w:tentative="1">
      <w:start w:val="1"/>
      <w:numFmt w:val="bullet"/>
      <w:lvlText w:val=""/>
      <w:lvlJc w:val="left"/>
      <w:pPr>
        <w:ind w:left="4677" w:hanging="360"/>
      </w:pPr>
      <w:rPr>
        <w:rFonts w:ascii="Wingdings" w:hAnsi="Wingdings" w:hint="default"/>
      </w:rPr>
    </w:lvl>
    <w:lvl w:ilvl="6" w:tentative="1">
      <w:start w:val="1"/>
      <w:numFmt w:val="bullet"/>
      <w:lvlText w:val=""/>
      <w:lvlJc w:val="left"/>
      <w:pPr>
        <w:ind w:left="5397" w:hanging="360"/>
      </w:pPr>
      <w:rPr>
        <w:rFonts w:ascii="Symbol" w:hAnsi="Symbol" w:hint="default"/>
      </w:rPr>
    </w:lvl>
    <w:lvl w:ilvl="7" w:tentative="1">
      <w:start w:val="1"/>
      <w:numFmt w:val="bullet"/>
      <w:lvlText w:val="o"/>
      <w:lvlJc w:val="left"/>
      <w:pPr>
        <w:ind w:left="6117" w:hanging="360"/>
      </w:pPr>
      <w:rPr>
        <w:rFonts w:ascii="Courier New" w:hAnsi="Courier New" w:cs="Courier New" w:hint="default"/>
      </w:rPr>
    </w:lvl>
    <w:lvl w:ilvl="8" w:tentative="1">
      <w:start w:val="1"/>
      <w:numFmt w:val="bullet"/>
      <w:lvlText w:val=""/>
      <w:lvlJc w:val="left"/>
      <w:pPr>
        <w:ind w:left="6837" w:hanging="360"/>
      </w:pPr>
      <w:rPr>
        <w:rFonts w:ascii="Wingdings" w:hAnsi="Wingdings" w:hint="default"/>
      </w:rPr>
    </w:lvl>
  </w:abstractNum>
  <w:abstractNum w:abstractNumId="39" w15:restartNumberingAfterBreak="0">
    <w:nsid w:val="67D35F4D"/>
    <w:multiLevelType w:val="hybridMultilevel"/>
    <w:tmpl w:val="8AEADC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15:restartNumberingAfterBreak="0">
    <w:nsid w:val="6B4F0165"/>
    <w:multiLevelType w:val="hybridMultilevel"/>
    <w:tmpl w:val="875088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15:restartNumberingAfterBreak="0">
    <w:nsid w:val="72A6106E"/>
    <w:multiLevelType w:val="hybridMultilevel"/>
    <w:tmpl w:val="65FA9D78"/>
    <w:lvl w:ilvl="0">
      <w:start w:val="1"/>
      <w:numFmt w:val="bullet"/>
      <w:lvlText w:val=""/>
      <w:lvlJc w:val="left"/>
      <w:pPr>
        <w:tabs>
          <w:tab w:val="num" w:pos="720"/>
        </w:tabs>
        <w:ind w:left="720" w:hanging="360"/>
      </w:pPr>
      <w:rPr>
        <w:rFonts w:ascii="Wingdings" w:hAnsi="Wingdings" w:hint="default"/>
      </w:rPr>
    </w:lvl>
    <w:lvl w:ilvl="1">
      <w:start w:val="0"/>
      <w:numFmt w:val="none"/>
      <w:lvlJc w:val="left"/>
      <w:pPr>
        <w:tabs>
          <w:tab w:val="num" w:pos="360"/>
        </w:tabs>
      </w:pPr>
    </w:lvl>
    <w:lvl w:ilvl="2">
      <w:start w:val="0"/>
      <w:numFmt w:val="none"/>
      <w:lvlJc w:val="left"/>
      <w:pPr>
        <w:tabs>
          <w:tab w:val="num" w:pos="360"/>
        </w:tabs>
      </w:p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D5735FF"/>
    <w:multiLevelType w:val="multilevel"/>
    <w:tmpl w:val="70DC4BDE"/>
    <w:lvl w:ilvl="0">
      <w:start w:val="1"/>
      <w:numFmt w:val="decimal"/>
      <w:lvlText w:val="%1."/>
      <w:lvlJc w:val="left"/>
      <w:pPr>
        <w:ind w:left="360" w:hanging="360"/>
      </w:pPr>
      <w:rPr>
        <w:b/>
        <w:sz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D627677"/>
    <w:multiLevelType w:val="hybridMultilevel"/>
    <w:tmpl w:val="2CCE4FC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4" w15:restartNumberingAfterBreak="0">
    <w:nsid w:val="7E363820"/>
    <w:multiLevelType w:val="hybridMultilevel"/>
    <w:tmpl w:val="A3A8E396"/>
    <w:lvl w:ilvl="0">
      <w:start w:val="1"/>
      <w:numFmt w:val="decimal"/>
      <w:lvlText w:val="%1."/>
      <w:lvlJc w:val="left"/>
      <w:pPr>
        <w:ind w:left="294"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51080005">
    <w:abstractNumId w:val="8"/>
  </w:num>
  <w:num w:numId="2" w16cid:durableId="626358178">
    <w:abstractNumId w:val="17"/>
  </w:num>
  <w:num w:numId="3" w16cid:durableId="986398941">
    <w:abstractNumId w:val="30"/>
  </w:num>
  <w:num w:numId="4" w16cid:durableId="19822239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8436914">
    <w:abstractNumId w:val="18"/>
  </w:num>
  <w:num w:numId="6" w16cid:durableId="1205291797">
    <w:abstractNumId w:val="0"/>
  </w:num>
  <w:num w:numId="7" w16cid:durableId="2124808393">
    <w:abstractNumId w:val="13"/>
  </w:num>
  <w:num w:numId="8" w16cid:durableId="1310331929">
    <w:abstractNumId w:val="5"/>
  </w:num>
  <w:num w:numId="9" w16cid:durableId="324480208">
    <w:abstractNumId w:val="24"/>
  </w:num>
  <w:num w:numId="10" w16cid:durableId="1093744526">
    <w:abstractNumId w:val="43"/>
  </w:num>
  <w:num w:numId="11" w16cid:durableId="563025253">
    <w:abstractNumId w:val="1"/>
  </w:num>
  <w:num w:numId="12" w16cid:durableId="1408772662">
    <w:abstractNumId w:val="9"/>
  </w:num>
  <w:num w:numId="13" w16cid:durableId="105395873">
    <w:abstractNumId w:val="25"/>
  </w:num>
  <w:num w:numId="14" w16cid:durableId="2059469888">
    <w:abstractNumId w:val="20"/>
  </w:num>
  <w:num w:numId="15" w16cid:durableId="1708873582">
    <w:abstractNumId w:val="40"/>
  </w:num>
  <w:num w:numId="16" w16cid:durableId="564800158">
    <w:abstractNumId w:val="37"/>
  </w:num>
  <w:num w:numId="17" w16cid:durableId="78987104">
    <w:abstractNumId w:val="7"/>
  </w:num>
  <w:num w:numId="18" w16cid:durableId="1583025151">
    <w:abstractNumId w:val="20"/>
    <w:lvlOverride w:ilvl="0">
      <w:startOverride w:val="2"/>
    </w:lvlOverride>
    <w:lvlOverride w:ilvl="1">
      <w:startOverride w:val="1"/>
    </w:lvlOverride>
  </w:num>
  <w:num w:numId="19" w16cid:durableId="2059626559">
    <w:abstractNumId w:val="2"/>
  </w:num>
  <w:num w:numId="20" w16cid:durableId="1005287111">
    <w:abstractNumId w:val="12"/>
  </w:num>
  <w:num w:numId="21" w16cid:durableId="782387975">
    <w:abstractNumId w:val="22"/>
  </w:num>
  <w:num w:numId="22" w16cid:durableId="1206328495">
    <w:abstractNumId w:val="23"/>
  </w:num>
  <w:num w:numId="23" w16cid:durableId="147403406">
    <w:abstractNumId w:val="42"/>
  </w:num>
  <w:num w:numId="24" w16cid:durableId="1661159637">
    <w:abstractNumId w:val="35"/>
  </w:num>
  <w:num w:numId="25" w16cid:durableId="824708436">
    <w:abstractNumId w:val="3"/>
  </w:num>
  <w:num w:numId="26" w16cid:durableId="386296985">
    <w:abstractNumId w:val="44"/>
  </w:num>
  <w:num w:numId="27" w16cid:durableId="1050769241">
    <w:abstractNumId w:val="15"/>
  </w:num>
  <w:num w:numId="28" w16cid:durableId="1454135486">
    <w:abstractNumId w:val="4"/>
  </w:num>
  <w:num w:numId="29" w16cid:durableId="1567644436">
    <w:abstractNumId w:val="31"/>
  </w:num>
  <w:num w:numId="30" w16cid:durableId="472018652">
    <w:abstractNumId w:val="11"/>
  </w:num>
  <w:num w:numId="31" w16cid:durableId="1308704467">
    <w:abstractNumId w:val="26"/>
  </w:num>
  <w:num w:numId="32" w16cid:durableId="918904188">
    <w:abstractNumId w:val="39"/>
  </w:num>
  <w:num w:numId="33" w16cid:durableId="685836319">
    <w:abstractNumId w:val="10"/>
  </w:num>
  <w:num w:numId="34" w16cid:durableId="169495101">
    <w:abstractNumId w:val="29"/>
  </w:num>
  <w:num w:numId="35" w16cid:durableId="1577131566">
    <w:abstractNumId w:val="16"/>
  </w:num>
  <w:num w:numId="36" w16cid:durableId="373313828">
    <w:abstractNumId w:val="19"/>
  </w:num>
  <w:num w:numId="37" w16cid:durableId="1811054241">
    <w:abstractNumId w:val="33"/>
  </w:num>
  <w:num w:numId="38" w16cid:durableId="74981098">
    <w:abstractNumId w:val="41"/>
  </w:num>
  <w:num w:numId="39" w16cid:durableId="1714576937">
    <w:abstractNumId w:val="6"/>
  </w:num>
  <w:num w:numId="40" w16cid:durableId="529538039">
    <w:abstractNumId w:val="36"/>
  </w:num>
  <w:num w:numId="41" w16cid:durableId="297760987">
    <w:abstractNumId w:val="28"/>
  </w:num>
  <w:num w:numId="42" w16cid:durableId="1830559556">
    <w:abstractNumId w:val="21"/>
  </w:num>
  <w:num w:numId="43" w16cid:durableId="1976982031">
    <w:abstractNumId w:val="27"/>
  </w:num>
  <w:num w:numId="44" w16cid:durableId="1525753723">
    <w:abstractNumId w:val="34"/>
  </w:num>
  <w:num w:numId="45" w16cid:durableId="1889759761">
    <w:abstractNumId w:val="32"/>
  </w:num>
  <w:num w:numId="46" w16cid:durableId="187789168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536"/>
  <w:hyphenationZone w:val="425"/>
  <w:drawingGridHorizontalSpacing w:val="187"/>
  <w:displayVerticalDrawingGridEvery w:val="2"/>
  <w:characterSpacingControl w:val="doNotCompress"/>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7EE"/>
    <w:rsid w:val="00007D60"/>
    <w:rsid w:val="00010992"/>
    <w:rsid w:val="00014602"/>
    <w:rsid w:val="00014EC4"/>
    <w:rsid w:val="000158B2"/>
    <w:rsid w:val="00015EA3"/>
    <w:rsid w:val="00021A56"/>
    <w:rsid w:val="00023DA5"/>
    <w:rsid w:val="00033EBB"/>
    <w:rsid w:val="000412AA"/>
    <w:rsid w:val="00044F00"/>
    <w:rsid w:val="00050BA7"/>
    <w:rsid w:val="000516FB"/>
    <w:rsid w:val="0005476E"/>
    <w:rsid w:val="00054935"/>
    <w:rsid w:val="00054DB7"/>
    <w:rsid w:val="000633B7"/>
    <w:rsid w:val="00075056"/>
    <w:rsid w:val="000755D5"/>
    <w:rsid w:val="00075D65"/>
    <w:rsid w:val="0007740B"/>
    <w:rsid w:val="00081450"/>
    <w:rsid w:val="00085C83"/>
    <w:rsid w:val="000903C6"/>
    <w:rsid w:val="0009307D"/>
    <w:rsid w:val="000A1B48"/>
    <w:rsid w:val="000A7DAC"/>
    <w:rsid w:val="000B2356"/>
    <w:rsid w:val="000B3006"/>
    <w:rsid w:val="000B50B9"/>
    <w:rsid w:val="000D2E27"/>
    <w:rsid w:val="000D774A"/>
    <w:rsid w:val="000E0177"/>
    <w:rsid w:val="000E0B94"/>
    <w:rsid w:val="000F5B4E"/>
    <w:rsid w:val="001173AB"/>
    <w:rsid w:val="00127BAC"/>
    <w:rsid w:val="001309EE"/>
    <w:rsid w:val="001339AA"/>
    <w:rsid w:val="00134228"/>
    <w:rsid w:val="001638FA"/>
    <w:rsid w:val="00165B09"/>
    <w:rsid w:val="001729E1"/>
    <w:rsid w:val="001729F2"/>
    <w:rsid w:val="00173C79"/>
    <w:rsid w:val="00182300"/>
    <w:rsid w:val="00183ACE"/>
    <w:rsid w:val="00183E4B"/>
    <w:rsid w:val="00186DB9"/>
    <w:rsid w:val="00195324"/>
    <w:rsid w:val="001A6184"/>
    <w:rsid w:val="001A6719"/>
    <w:rsid w:val="001A6C69"/>
    <w:rsid w:val="001C2538"/>
    <w:rsid w:val="001D36CA"/>
    <w:rsid w:val="001D3B8B"/>
    <w:rsid w:val="001F5B35"/>
    <w:rsid w:val="001F5DB2"/>
    <w:rsid w:val="00201C19"/>
    <w:rsid w:val="00206618"/>
    <w:rsid w:val="00207E21"/>
    <w:rsid w:val="00212D8E"/>
    <w:rsid w:val="00213BC5"/>
    <w:rsid w:val="002159DA"/>
    <w:rsid w:val="00220954"/>
    <w:rsid w:val="0022154C"/>
    <w:rsid w:val="0022252B"/>
    <w:rsid w:val="00226898"/>
    <w:rsid w:val="00226B9D"/>
    <w:rsid w:val="002329A1"/>
    <w:rsid w:val="00240A05"/>
    <w:rsid w:val="00250BD4"/>
    <w:rsid w:val="00255084"/>
    <w:rsid w:val="00255F59"/>
    <w:rsid w:val="00256059"/>
    <w:rsid w:val="002571D3"/>
    <w:rsid w:val="002603D7"/>
    <w:rsid w:val="00261CCF"/>
    <w:rsid w:val="002623B5"/>
    <w:rsid w:val="00262BAD"/>
    <w:rsid w:val="00263DBD"/>
    <w:rsid w:val="002712E2"/>
    <w:rsid w:val="002743ED"/>
    <w:rsid w:val="002757DB"/>
    <w:rsid w:val="00276A0B"/>
    <w:rsid w:val="002813C1"/>
    <w:rsid w:val="002858C0"/>
    <w:rsid w:val="0028755A"/>
    <w:rsid w:val="00295E7F"/>
    <w:rsid w:val="002A129E"/>
    <w:rsid w:val="002A2963"/>
    <w:rsid w:val="002A4A34"/>
    <w:rsid w:val="002A4B26"/>
    <w:rsid w:val="002A700B"/>
    <w:rsid w:val="002A7EEE"/>
    <w:rsid w:val="002B5839"/>
    <w:rsid w:val="002B5A30"/>
    <w:rsid w:val="002B5A43"/>
    <w:rsid w:val="002C12A9"/>
    <w:rsid w:val="002C5A19"/>
    <w:rsid w:val="002E06F3"/>
    <w:rsid w:val="002E2BAB"/>
    <w:rsid w:val="002E57AA"/>
    <w:rsid w:val="002E6263"/>
    <w:rsid w:val="002E6A41"/>
    <w:rsid w:val="002F0555"/>
    <w:rsid w:val="002F4792"/>
    <w:rsid w:val="002F6D15"/>
    <w:rsid w:val="003010F0"/>
    <w:rsid w:val="00305924"/>
    <w:rsid w:val="00310C88"/>
    <w:rsid w:val="00320856"/>
    <w:rsid w:val="0032676A"/>
    <w:rsid w:val="00330DB4"/>
    <w:rsid w:val="003316A3"/>
    <w:rsid w:val="00333B88"/>
    <w:rsid w:val="00335BAD"/>
    <w:rsid w:val="003379C9"/>
    <w:rsid w:val="00342BA3"/>
    <w:rsid w:val="003442E9"/>
    <w:rsid w:val="00346437"/>
    <w:rsid w:val="00352D38"/>
    <w:rsid w:val="00362E2A"/>
    <w:rsid w:val="00375A6D"/>
    <w:rsid w:val="003774FF"/>
    <w:rsid w:val="00385451"/>
    <w:rsid w:val="003856FF"/>
    <w:rsid w:val="00387903"/>
    <w:rsid w:val="00396534"/>
    <w:rsid w:val="003A24E6"/>
    <w:rsid w:val="003A6BA8"/>
    <w:rsid w:val="003A755D"/>
    <w:rsid w:val="003B167D"/>
    <w:rsid w:val="003B49B9"/>
    <w:rsid w:val="003B5884"/>
    <w:rsid w:val="003B5F4A"/>
    <w:rsid w:val="003B5FA9"/>
    <w:rsid w:val="003C5640"/>
    <w:rsid w:val="003C59AC"/>
    <w:rsid w:val="003C669F"/>
    <w:rsid w:val="003D2752"/>
    <w:rsid w:val="003D7ADA"/>
    <w:rsid w:val="004062DB"/>
    <w:rsid w:val="004142B9"/>
    <w:rsid w:val="00414F25"/>
    <w:rsid w:val="004355F2"/>
    <w:rsid w:val="00442AFE"/>
    <w:rsid w:val="00445565"/>
    <w:rsid w:val="00446788"/>
    <w:rsid w:val="00461F37"/>
    <w:rsid w:val="0046326B"/>
    <w:rsid w:val="00470C36"/>
    <w:rsid w:val="00472DC1"/>
    <w:rsid w:val="004802DB"/>
    <w:rsid w:val="0048324C"/>
    <w:rsid w:val="00486A62"/>
    <w:rsid w:val="004B0D88"/>
    <w:rsid w:val="004B3A7D"/>
    <w:rsid w:val="004B5B73"/>
    <w:rsid w:val="004C4BE2"/>
    <w:rsid w:val="004C753D"/>
    <w:rsid w:val="004D1ADA"/>
    <w:rsid w:val="004D3B4F"/>
    <w:rsid w:val="004E05FB"/>
    <w:rsid w:val="004E0666"/>
    <w:rsid w:val="004E53AD"/>
    <w:rsid w:val="004F461A"/>
    <w:rsid w:val="004F6978"/>
    <w:rsid w:val="005011ED"/>
    <w:rsid w:val="00501B89"/>
    <w:rsid w:val="00501CB2"/>
    <w:rsid w:val="00503B98"/>
    <w:rsid w:val="005051B2"/>
    <w:rsid w:val="00526E33"/>
    <w:rsid w:val="005617BB"/>
    <w:rsid w:val="00564F0E"/>
    <w:rsid w:val="00567E85"/>
    <w:rsid w:val="00580F98"/>
    <w:rsid w:val="00582BBB"/>
    <w:rsid w:val="0058494D"/>
    <w:rsid w:val="005963B0"/>
    <w:rsid w:val="005A6AFA"/>
    <w:rsid w:val="005B227C"/>
    <w:rsid w:val="005B30A9"/>
    <w:rsid w:val="005E00AA"/>
    <w:rsid w:val="005E2AED"/>
    <w:rsid w:val="005F0E50"/>
    <w:rsid w:val="005F33E4"/>
    <w:rsid w:val="005F7AA5"/>
    <w:rsid w:val="00603D6D"/>
    <w:rsid w:val="00604CD5"/>
    <w:rsid w:val="00612353"/>
    <w:rsid w:val="00612F51"/>
    <w:rsid w:val="00614370"/>
    <w:rsid w:val="0061743F"/>
    <w:rsid w:val="0062049A"/>
    <w:rsid w:val="00625003"/>
    <w:rsid w:val="0062758C"/>
    <w:rsid w:val="00627AA3"/>
    <w:rsid w:val="00633F73"/>
    <w:rsid w:val="00642C81"/>
    <w:rsid w:val="00642CB1"/>
    <w:rsid w:val="006443F3"/>
    <w:rsid w:val="006457B6"/>
    <w:rsid w:val="006667DE"/>
    <w:rsid w:val="006678AD"/>
    <w:rsid w:val="006813B1"/>
    <w:rsid w:val="00683F7B"/>
    <w:rsid w:val="006843BD"/>
    <w:rsid w:val="00696C11"/>
    <w:rsid w:val="006A02C3"/>
    <w:rsid w:val="006A44E2"/>
    <w:rsid w:val="006B19FC"/>
    <w:rsid w:val="006C586C"/>
    <w:rsid w:val="006C799E"/>
    <w:rsid w:val="006D4FEE"/>
    <w:rsid w:val="006E1ACA"/>
    <w:rsid w:val="006E4FDB"/>
    <w:rsid w:val="006E7832"/>
    <w:rsid w:val="0070442E"/>
    <w:rsid w:val="007045BB"/>
    <w:rsid w:val="007132DB"/>
    <w:rsid w:val="00716D14"/>
    <w:rsid w:val="00720F6A"/>
    <w:rsid w:val="00734DE9"/>
    <w:rsid w:val="00737575"/>
    <w:rsid w:val="00737CF9"/>
    <w:rsid w:val="00740494"/>
    <w:rsid w:val="00757FB4"/>
    <w:rsid w:val="00770C8F"/>
    <w:rsid w:val="00774D90"/>
    <w:rsid w:val="00782270"/>
    <w:rsid w:val="00787942"/>
    <w:rsid w:val="0079053F"/>
    <w:rsid w:val="007909FF"/>
    <w:rsid w:val="00794520"/>
    <w:rsid w:val="00797F50"/>
    <w:rsid w:val="007A5A51"/>
    <w:rsid w:val="007A74DB"/>
    <w:rsid w:val="007B02D0"/>
    <w:rsid w:val="007C0039"/>
    <w:rsid w:val="007C0C99"/>
    <w:rsid w:val="007C35F2"/>
    <w:rsid w:val="007D7D65"/>
    <w:rsid w:val="007E633D"/>
    <w:rsid w:val="007E740A"/>
    <w:rsid w:val="007F4466"/>
    <w:rsid w:val="00805FF5"/>
    <w:rsid w:val="00806396"/>
    <w:rsid w:val="00810702"/>
    <w:rsid w:val="0082659D"/>
    <w:rsid w:val="008268F7"/>
    <w:rsid w:val="00826989"/>
    <w:rsid w:val="00827447"/>
    <w:rsid w:val="00831BB8"/>
    <w:rsid w:val="008336BA"/>
    <w:rsid w:val="00833C9B"/>
    <w:rsid w:val="00842B23"/>
    <w:rsid w:val="00845A72"/>
    <w:rsid w:val="00846EF0"/>
    <w:rsid w:val="0085171F"/>
    <w:rsid w:val="00857D4D"/>
    <w:rsid w:val="00864478"/>
    <w:rsid w:val="008707F1"/>
    <w:rsid w:val="00871641"/>
    <w:rsid w:val="00876565"/>
    <w:rsid w:val="00885F0E"/>
    <w:rsid w:val="0088636A"/>
    <w:rsid w:val="00896F03"/>
    <w:rsid w:val="008A3A68"/>
    <w:rsid w:val="008A4999"/>
    <w:rsid w:val="008A5A31"/>
    <w:rsid w:val="008A5DFC"/>
    <w:rsid w:val="008B1F79"/>
    <w:rsid w:val="008B5174"/>
    <w:rsid w:val="008C12A8"/>
    <w:rsid w:val="008C5292"/>
    <w:rsid w:val="008C60D5"/>
    <w:rsid w:val="008D1F07"/>
    <w:rsid w:val="008E5901"/>
    <w:rsid w:val="008E7128"/>
    <w:rsid w:val="008F0D09"/>
    <w:rsid w:val="008F1FB6"/>
    <w:rsid w:val="008F4488"/>
    <w:rsid w:val="009004EE"/>
    <w:rsid w:val="00913813"/>
    <w:rsid w:val="00917FFE"/>
    <w:rsid w:val="00923442"/>
    <w:rsid w:val="009235CE"/>
    <w:rsid w:val="00924718"/>
    <w:rsid w:val="009260AC"/>
    <w:rsid w:val="0093065D"/>
    <w:rsid w:val="00933A0C"/>
    <w:rsid w:val="00940628"/>
    <w:rsid w:val="00941417"/>
    <w:rsid w:val="00942AC7"/>
    <w:rsid w:val="00942C99"/>
    <w:rsid w:val="00946925"/>
    <w:rsid w:val="00954227"/>
    <w:rsid w:val="00955A15"/>
    <w:rsid w:val="00957974"/>
    <w:rsid w:val="00965288"/>
    <w:rsid w:val="009778D6"/>
    <w:rsid w:val="00980167"/>
    <w:rsid w:val="009813FB"/>
    <w:rsid w:val="009823FF"/>
    <w:rsid w:val="0099169D"/>
    <w:rsid w:val="00993B50"/>
    <w:rsid w:val="009A5CF8"/>
    <w:rsid w:val="009A6636"/>
    <w:rsid w:val="009B085D"/>
    <w:rsid w:val="009B3690"/>
    <w:rsid w:val="009B50E4"/>
    <w:rsid w:val="009B66EC"/>
    <w:rsid w:val="009C40DC"/>
    <w:rsid w:val="009C477D"/>
    <w:rsid w:val="009D789C"/>
    <w:rsid w:val="009E3740"/>
    <w:rsid w:val="009E463C"/>
    <w:rsid w:val="009F2CBC"/>
    <w:rsid w:val="009F44C1"/>
    <w:rsid w:val="009F46EA"/>
    <w:rsid w:val="00A1002A"/>
    <w:rsid w:val="00A12565"/>
    <w:rsid w:val="00A13FCF"/>
    <w:rsid w:val="00A15B33"/>
    <w:rsid w:val="00A21F36"/>
    <w:rsid w:val="00A220F1"/>
    <w:rsid w:val="00A31119"/>
    <w:rsid w:val="00A31552"/>
    <w:rsid w:val="00A37231"/>
    <w:rsid w:val="00A4015D"/>
    <w:rsid w:val="00A41C52"/>
    <w:rsid w:val="00A451CD"/>
    <w:rsid w:val="00A469B1"/>
    <w:rsid w:val="00A5435C"/>
    <w:rsid w:val="00A62E85"/>
    <w:rsid w:val="00A631FE"/>
    <w:rsid w:val="00A7122E"/>
    <w:rsid w:val="00A82FF8"/>
    <w:rsid w:val="00A9005E"/>
    <w:rsid w:val="00AA368F"/>
    <w:rsid w:val="00AB01BB"/>
    <w:rsid w:val="00AB0E9E"/>
    <w:rsid w:val="00AB37EE"/>
    <w:rsid w:val="00AC152D"/>
    <w:rsid w:val="00AC7DBF"/>
    <w:rsid w:val="00AD76DE"/>
    <w:rsid w:val="00AE25C0"/>
    <w:rsid w:val="00AE5257"/>
    <w:rsid w:val="00AE759A"/>
    <w:rsid w:val="00AF618A"/>
    <w:rsid w:val="00AF70F0"/>
    <w:rsid w:val="00B01B03"/>
    <w:rsid w:val="00B035D4"/>
    <w:rsid w:val="00B071E7"/>
    <w:rsid w:val="00B15380"/>
    <w:rsid w:val="00B1691E"/>
    <w:rsid w:val="00B20355"/>
    <w:rsid w:val="00B267A6"/>
    <w:rsid w:val="00B32998"/>
    <w:rsid w:val="00B423DC"/>
    <w:rsid w:val="00B43B4C"/>
    <w:rsid w:val="00B46F33"/>
    <w:rsid w:val="00B54164"/>
    <w:rsid w:val="00B65EE9"/>
    <w:rsid w:val="00B73459"/>
    <w:rsid w:val="00B7431A"/>
    <w:rsid w:val="00B81F8C"/>
    <w:rsid w:val="00B84711"/>
    <w:rsid w:val="00B91F27"/>
    <w:rsid w:val="00BA0EDF"/>
    <w:rsid w:val="00BB0D76"/>
    <w:rsid w:val="00BB442F"/>
    <w:rsid w:val="00BB6E86"/>
    <w:rsid w:val="00BC6985"/>
    <w:rsid w:val="00BD3034"/>
    <w:rsid w:val="00BE2399"/>
    <w:rsid w:val="00BE2657"/>
    <w:rsid w:val="00C054FC"/>
    <w:rsid w:val="00C112A7"/>
    <w:rsid w:val="00C11797"/>
    <w:rsid w:val="00C12F44"/>
    <w:rsid w:val="00C1521E"/>
    <w:rsid w:val="00C16566"/>
    <w:rsid w:val="00C17036"/>
    <w:rsid w:val="00C20CC6"/>
    <w:rsid w:val="00C26343"/>
    <w:rsid w:val="00C271C6"/>
    <w:rsid w:val="00C27B10"/>
    <w:rsid w:val="00C32C56"/>
    <w:rsid w:val="00C46DA0"/>
    <w:rsid w:val="00C535E8"/>
    <w:rsid w:val="00C5419A"/>
    <w:rsid w:val="00C55634"/>
    <w:rsid w:val="00C62A06"/>
    <w:rsid w:val="00C66135"/>
    <w:rsid w:val="00C725D0"/>
    <w:rsid w:val="00C736F2"/>
    <w:rsid w:val="00C74FD3"/>
    <w:rsid w:val="00C764ED"/>
    <w:rsid w:val="00C86EA3"/>
    <w:rsid w:val="00C87EE7"/>
    <w:rsid w:val="00C914B5"/>
    <w:rsid w:val="00C9201F"/>
    <w:rsid w:val="00C95FE4"/>
    <w:rsid w:val="00C97AAD"/>
    <w:rsid w:val="00CA0A34"/>
    <w:rsid w:val="00CA3B3F"/>
    <w:rsid w:val="00CA3E57"/>
    <w:rsid w:val="00CA6D62"/>
    <w:rsid w:val="00CA6E7E"/>
    <w:rsid w:val="00CB6177"/>
    <w:rsid w:val="00CD12AA"/>
    <w:rsid w:val="00CD39BD"/>
    <w:rsid w:val="00CE3658"/>
    <w:rsid w:val="00CF17AA"/>
    <w:rsid w:val="00CF5A1F"/>
    <w:rsid w:val="00CF7726"/>
    <w:rsid w:val="00D03005"/>
    <w:rsid w:val="00D05148"/>
    <w:rsid w:val="00D06FCA"/>
    <w:rsid w:val="00D1613A"/>
    <w:rsid w:val="00D16635"/>
    <w:rsid w:val="00D16891"/>
    <w:rsid w:val="00D26737"/>
    <w:rsid w:val="00D320F8"/>
    <w:rsid w:val="00D372AE"/>
    <w:rsid w:val="00D50B5D"/>
    <w:rsid w:val="00D532B6"/>
    <w:rsid w:val="00D5513F"/>
    <w:rsid w:val="00D5617D"/>
    <w:rsid w:val="00D57077"/>
    <w:rsid w:val="00D64633"/>
    <w:rsid w:val="00D7080C"/>
    <w:rsid w:val="00D74F18"/>
    <w:rsid w:val="00DB1862"/>
    <w:rsid w:val="00DB6787"/>
    <w:rsid w:val="00DC743E"/>
    <w:rsid w:val="00DD301E"/>
    <w:rsid w:val="00DD4064"/>
    <w:rsid w:val="00DD591A"/>
    <w:rsid w:val="00DD6931"/>
    <w:rsid w:val="00DE55D0"/>
    <w:rsid w:val="00DF3976"/>
    <w:rsid w:val="00DF50E0"/>
    <w:rsid w:val="00DF592A"/>
    <w:rsid w:val="00E00F26"/>
    <w:rsid w:val="00E0582F"/>
    <w:rsid w:val="00E068A5"/>
    <w:rsid w:val="00E14241"/>
    <w:rsid w:val="00E26613"/>
    <w:rsid w:val="00E37505"/>
    <w:rsid w:val="00E41B30"/>
    <w:rsid w:val="00E437F7"/>
    <w:rsid w:val="00E5107F"/>
    <w:rsid w:val="00E55A09"/>
    <w:rsid w:val="00E70DA3"/>
    <w:rsid w:val="00E715AE"/>
    <w:rsid w:val="00EA2A24"/>
    <w:rsid w:val="00EA48C0"/>
    <w:rsid w:val="00EA5359"/>
    <w:rsid w:val="00EB3752"/>
    <w:rsid w:val="00EB7C8A"/>
    <w:rsid w:val="00EC3241"/>
    <w:rsid w:val="00EC7211"/>
    <w:rsid w:val="00EE0BC2"/>
    <w:rsid w:val="00EE1A57"/>
    <w:rsid w:val="00EE438E"/>
    <w:rsid w:val="00EE5752"/>
    <w:rsid w:val="00EF0029"/>
    <w:rsid w:val="00EF049C"/>
    <w:rsid w:val="00EF0B8B"/>
    <w:rsid w:val="00EF530C"/>
    <w:rsid w:val="00F07836"/>
    <w:rsid w:val="00F120E0"/>
    <w:rsid w:val="00F14E29"/>
    <w:rsid w:val="00F1683F"/>
    <w:rsid w:val="00F1725E"/>
    <w:rsid w:val="00F208E4"/>
    <w:rsid w:val="00F23643"/>
    <w:rsid w:val="00F317FF"/>
    <w:rsid w:val="00F33244"/>
    <w:rsid w:val="00F37C0E"/>
    <w:rsid w:val="00F37D94"/>
    <w:rsid w:val="00F42177"/>
    <w:rsid w:val="00F42203"/>
    <w:rsid w:val="00F42215"/>
    <w:rsid w:val="00F42BF8"/>
    <w:rsid w:val="00F5556D"/>
    <w:rsid w:val="00F60714"/>
    <w:rsid w:val="00F6725B"/>
    <w:rsid w:val="00F700D4"/>
    <w:rsid w:val="00F7047D"/>
    <w:rsid w:val="00F70E2C"/>
    <w:rsid w:val="00F71B13"/>
    <w:rsid w:val="00F81253"/>
    <w:rsid w:val="00F81B4C"/>
    <w:rsid w:val="00F85B88"/>
    <w:rsid w:val="00F93EDD"/>
    <w:rsid w:val="00F9680E"/>
    <w:rsid w:val="00FA2B00"/>
    <w:rsid w:val="00FA38F1"/>
    <w:rsid w:val="00FB6992"/>
    <w:rsid w:val="00FB725F"/>
    <w:rsid w:val="00FC3CB2"/>
    <w:rsid w:val="00FD703D"/>
    <w:rsid w:val="00FD76C5"/>
    <w:rsid w:val="00FE0B38"/>
    <w:rsid w:val="00FE0D02"/>
    <w:rsid w:val="00FF5A05"/>
    <w:rsid w:val="00FF699B"/>
    <w:rsid w:val="0219A072"/>
    <w:rsid w:val="033B2BCD"/>
    <w:rsid w:val="0879597F"/>
    <w:rsid w:val="09CF5F1F"/>
    <w:rsid w:val="0E9BB010"/>
    <w:rsid w:val="15771427"/>
    <w:rsid w:val="17D37958"/>
    <w:rsid w:val="1BF38E1A"/>
    <w:rsid w:val="1C9974D5"/>
    <w:rsid w:val="207B7871"/>
    <w:rsid w:val="24E33678"/>
    <w:rsid w:val="2AE08F49"/>
    <w:rsid w:val="2B0AC2AA"/>
    <w:rsid w:val="372D1F3B"/>
    <w:rsid w:val="3CC062EC"/>
    <w:rsid w:val="3D0DD41B"/>
    <w:rsid w:val="45F821AD"/>
    <w:rsid w:val="4641CAB1"/>
    <w:rsid w:val="496ED0FB"/>
    <w:rsid w:val="49ED14D5"/>
    <w:rsid w:val="4A5BA29A"/>
    <w:rsid w:val="4C973F9A"/>
    <w:rsid w:val="4EA6E83E"/>
    <w:rsid w:val="50305EFA"/>
    <w:rsid w:val="51748445"/>
    <w:rsid w:val="54A4D76A"/>
    <w:rsid w:val="5733BA89"/>
    <w:rsid w:val="57B860D7"/>
    <w:rsid w:val="59FA5799"/>
    <w:rsid w:val="675808F3"/>
    <w:rsid w:val="700537CB"/>
    <w:rsid w:val="70972C57"/>
    <w:rsid w:val="72201A58"/>
    <w:rsid w:val="799AF4DD"/>
  </w:rsids>
  <m:mathPr>
    <m:mathFont m:val="Cambria Math"/>
  </m:mathPr>
  <w:themeFontLang w:val="fi-FI"/>
  <w:clrSchemeMapping w:bg1="light1" w:t1="dark1" w:bg2="light2" w:t2="dark2" w:accent1="accent1" w:accent2="accent2" w:accent3="accent3" w:accent4="accent4" w:accent5="accent5" w:accent6="accent6" w:hyperlink="hyperlink" w:followedHyperlink="followedHyperlink"/>
  <w:doNotIncludeSubdocsInStats/>
  <w:doNotEmbedSmartTags/>
  <w14:docId w14:val="729F0CD5"/>
  <w15:docId w15:val="{17F025BF-8DB8-43DC-98EF-D043E8351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5A30"/>
    <w:rPr>
      <w:rFonts w:ascii="Arial" w:hAnsi="Arial" w:cs="Arial"/>
      <w:sz w:val="22"/>
      <w:szCs w:val="24"/>
    </w:rPr>
  </w:style>
  <w:style w:type="paragraph" w:styleId="Heading1">
    <w:name w:val="heading 1"/>
    <w:basedOn w:val="Normal"/>
    <w:next w:val="Normal"/>
    <w:qFormat/>
    <w:rsid w:val="00A37231"/>
    <w:pPr>
      <w:keepNext/>
      <w:numPr>
        <w:numId w:val="14"/>
      </w:numPr>
      <w:tabs>
        <w:tab w:val="left" w:pos="1870"/>
        <w:tab w:val="left" w:pos="2992"/>
        <w:tab w:val="left" w:pos="6358"/>
        <w:tab w:val="left" w:pos="8505"/>
        <w:tab w:val="left" w:pos="11340"/>
      </w:tabs>
      <w:outlineLvl w:val="0"/>
    </w:pPr>
    <w:rPr>
      <w:b/>
      <w:sz w:val="32"/>
      <w:szCs w:val="40"/>
    </w:rPr>
  </w:style>
  <w:style w:type="paragraph" w:styleId="Heading2">
    <w:name w:val="heading 2"/>
    <w:basedOn w:val="Normal"/>
    <w:next w:val="Normal"/>
    <w:qFormat/>
    <w:rsid w:val="00C9201F"/>
    <w:pPr>
      <w:keepNext/>
      <w:numPr>
        <w:ilvl w:val="1"/>
        <w:numId w:val="14"/>
      </w:numPr>
      <w:spacing w:before="240" w:after="60"/>
      <w:outlineLvl w:val="1"/>
    </w:pPr>
    <w:rPr>
      <w:b/>
      <w:sz w:val="24"/>
    </w:rPr>
  </w:style>
  <w:style w:type="paragraph" w:styleId="Heading3">
    <w:name w:val="heading 3"/>
    <w:basedOn w:val="Normal"/>
    <w:next w:val="Normal"/>
    <w:link w:val="Heading3Char"/>
    <w:uiPriority w:val="9"/>
    <w:qFormat/>
    <w:rsid w:val="00B81F8C"/>
    <w:pPr>
      <w:keepNext/>
      <w:spacing w:before="240" w:after="60"/>
      <w:outlineLvl w:val="2"/>
    </w:pPr>
    <w:rPr>
      <w:b/>
      <w:szCs w:val="22"/>
    </w:rPr>
  </w:style>
  <w:style w:type="paragraph" w:styleId="Heading4">
    <w:name w:val="heading 4"/>
    <w:basedOn w:val="Normal"/>
    <w:next w:val="Normal"/>
    <w:link w:val="Heading4Char"/>
    <w:uiPriority w:val="9"/>
    <w:semiHidden/>
    <w:unhideWhenUsed/>
    <w:qFormat/>
    <w:rsid w:val="00C9201F"/>
    <w:pPr>
      <w:keepNext/>
      <w:numPr>
        <w:ilvl w:val="3"/>
        <w:numId w:val="14"/>
      </w:numPr>
      <w:spacing w:before="240" w:after="60"/>
      <w:outlineLvl w:val="3"/>
    </w:pPr>
    <w:rPr>
      <w:rFonts w:ascii="Calibri" w:hAnsi="Calibri" w:cs="Times New Roman"/>
      <w:b/>
      <w:bCs/>
      <w:sz w:val="28"/>
      <w:szCs w:val="28"/>
    </w:rPr>
  </w:style>
  <w:style w:type="paragraph" w:styleId="Heading5">
    <w:name w:val="heading 5"/>
    <w:basedOn w:val="Normal"/>
    <w:next w:val="Normal"/>
    <w:link w:val="Heading5Char"/>
    <w:uiPriority w:val="9"/>
    <w:semiHidden/>
    <w:unhideWhenUsed/>
    <w:qFormat/>
    <w:rsid w:val="00C9201F"/>
    <w:pPr>
      <w:numPr>
        <w:ilvl w:val="4"/>
        <w:numId w:val="14"/>
      </w:numPr>
      <w:spacing w:before="240" w:after="60"/>
      <w:outlineLvl w:val="4"/>
    </w:pPr>
    <w:rPr>
      <w:rFonts w:ascii="Calibri" w:hAnsi="Calibri" w:cs="Times New Roman"/>
      <w:b/>
      <w:bCs/>
      <w:i/>
      <w:iCs/>
      <w:sz w:val="26"/>
      <w:szCs w:val="26"/>
    </w:rPr>
  </w:style>
  <w:style w:type="paragraph" w:styleId="Heading6">
    <w:name w:val="heading 6"/>
    <w:basedOn w:val="Normal"/>
    <w:next w:val="Normal"/>
    <w:link w:val="Heading6Char"/>
    <w:uiPriority w:val="9"/>
    <w:semiHidden/>
    <w:unhideWhenUsed/>
    <w:qFormat/>
    <w:rsid w:val="00C9201F"/>
    <w:pPr>
      <w:numPr>
        <w:ilvl w:val="5"/>
        <w:numId w:val="14"/>
      </w:numPr>
      <w:spacing w:before="240" w:after="60"/>
      <w:outlineLvl w:val="5"/>
    </w:pPr>
    <w:rPr>
      <w:rFonts w:ascii="Calibri" w:hAnsi="Calibri" w:cs="Times New Roman"/>
      <w:b/>
      <w:bCs/>
      <w:szCs w:val="22"/>
    </w:rPr>
  </w:style>
  <w:style w:type="paragraph" w:styleId="Heading7">
    <w:name w:val="heading 7"/>
    <w:basedOn w:val="Normal"/>
    <w:next w:val="Normal"/>
    <w:link w:val="Heading7Char"/>
    <w:uiPriority w:val="9"/>
    <w:semiHidden/>
    <w:unhideWhenUsed/>
    <w:qFormat/>
    <w:rsid w:val="00C9201F"/>
    <w:pPr>
      <w:numPr>
        <w:ilvl w:val="6"/>
        <w:numId w:val="14"/>
      </w:numPr>
      <w:spacing w:before="240" w:after="60"/>
      <w:outlineLvl w:val="6"/>
    </w:pPr>
    <w:rPr>
      <w:rFonts w:ascii="Calibri" w:hAnsi="Calibri" w:cs="Times New Roman"/>
      <w:sz w:val="24"/>
    </w:rPr>
  </w:style>
  <w:style w:type="paragraph" w:styleId="Heading8">
    <w:name w:val="heading 8"/>
    <w:basedOn w:val="Normal"/>
    <w:next w:val="Normal"/>
    <w:link w:val="Heading8Char"/>
    <w:uiPriority w:val="9"/>
    <w:semiHidden/>
    <w:unhideWhenUsed/>
    <w:qFormat/>
    <w:rsid w:val="00C9201F"/>
    <w:pPr>
      <w:numPr>
        <w:ilvl w:val="7"/>
        <w:numId w:val="14"/>
      </w:numPr>
      <w:spacing w:before="240" w:after="60"/>
      <w:outlineLvl w:val="7"/>
    </w:pPr>
    <w:rPr>
      <w:rFonts w:ascii="Calibri" w:hAnsi="Calibri" w:cs="Times New Roman"/>
      <w:i/>
      <w:iCs/>
      <w:sz w:val="24"/>
    </w:rPr>
  </w:style>
  <w:style w:type="paragraph" w:styleId="Heading9">
    <w:name w:val="heading 9"/>
    <w:basedOn w:val="Normal"/>
    <w:next w:val="Normal"/>
    <w:link w:val="Heading9Char"/>
    <w:uiPriority w:val="9"/>
    <w:semiHidden/>
    <w:unhideWhenUsed/>
    <w:qFormat/>
    <w:rsid w:val="00C9201F"/>
    <w:pPr>
      <w:numPr>
        <w:ilvl w:val="8"/>
        <w:numId w:val="14"/>
      </w:numPr>
      <w:spacing w:before="240" w:after="60"/>
      <w:outlineLvl w:val="8"/>
    </w:pPr>
    <w:rPr>
      <w:rFonts w:ascii="Cambria" w:hAnsi="Cambria"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819"/>
        <w:tab w:val="right" w:pos="9638"/>
      </w:tabs>
    </w:pPr>
  </w:style>
  <w:style w:type="paragraph" w:styleId="Footer">
    <w:name w:val="footer"/>
    <w:basedOn w:val="Normal"/>
    <w:pPr>
      <w:tabs>
        <w:tab w:val="center" w:pos="4819"/>
        <w:tab w:val="right" w:pos="9638"/>
      </w:tabs>
    </w:p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customStyle="1" w:styleId="Vriksluettelo-korostus11">
    <w:name w:val="Värikäs luettelo - korostus 11"/>
    <w:basedOn w:val="Normal"/>
    <w:uiPriority w:val="34"/>
    <w:qFormat/>
    <w:rsid w:val="00E56D9A"/>
    <w:pPr>
      <w:ind w:left="720"/>
    </w:pPr>
    <w:rPr>
      <w:rFonts w:ascii="Calibri" w:eastAsia="Calibri" w:hAnsi="Calibri" w:cs="Times New Roman"/>
      <w:szCs w:val="22"/>
      <w:lang w:eastAsia="en-US"/>
    </w:rPr>
  </w:style>
  <w:style w:type="paragraph" w:customStyle="1" w:styleId="leka">
    <w:name w:val="l eka"/>
    <w:basedOn w:val="Normal"/>
    <w:next w:val="IILeipis"/>
    <w:autoRedefine/>
    <w:qFormat/>
    <w:rsid w:val="002B5A30"/>
    <w:pPr>
      <w:tabs>
        <w:tab w:val="left" w:pos="284"/>
      </w:tabs>
      <w:spacing w:after="120"/>
      <w:jc w:val="both"/>
    </w:pPr>
    <w:rPr>
      <w:rFonts w:cs="Times New Roman"/>
      <w:szCs w:val="36"/>
      <w:lang w:eastAsia="en-US"/>
    </w:rPr>
  </w:style>
  <w:style w:type="paragraph" w:customStyle="1" w:styleId="IILeipis">
    <w:name w:val="II Leipis"/>
    <w:basedOn w:val="Normal"/>
    <w:link w:val="IILeipisChar"/>
    <w:autoRedefine/>
    <w:qFormat/>
    <w:rsid w:val="00EE1A57"/>
    <w:pPr>
      <w:spacing w:after="120"/>
      <w:jc w:val="both"/>
    </w:pPr>
    <w:rPr>
      <w:rFonts w:cs="Times New Roman"/>
      <w:b/>
      <w:sz w:val="24"/>
      <w:lang w:eastAsia="en-US"/>
    </w:rPr>
  </w:style>
  <w:style w:type="character" w:customStyle="1" w:styleId="IILeipisChar">
    <w:name w:val="II Leipis Char"/>
    <w:link w:val="IILeipis"/>
    <w:rsid w:val="00EE1A57"/>
    <w:rPr>
      <w:rFonts w:ascii="Arial" w:hAnsi="Arial"/>
      <w:b/>
      <w:sz w:val="24"/>
      <w:szCs w:val="24"/>
      <w:lang w:eastAsia="en-US"/>
    </w:rPr>
  </w:style>
  <w:style w:type="paragraph" w:styleId="Title">
    <w:name w:val="Title"/>
    <w:basedOn w:val="Normal"/>
    <w:next w:val="Subtitle"/>
    <w:link w:val="TitleChar"/>
    <w:qFormat/>
    <w:rsid w:val="002B5A30"/>
    <w:pPr>
      <w:spacing w:before="120"/>
      <w:outlineLvl w:val="0"/>
    </w:pPr>
    <w:rPr>
      <w:rFonts w:cs="Times New Roman"/>
      <w:b/>
      <w:bCs/>
      <w:kern w:val="28"/>
      <w:szCs w:val="32"/>
    </w:rPr>
  </w:style>
  <w:style w:type="character" w:customStyle="1" w:styleId="TitleChar">
    <w:name w:val="Title Char"/>
    <w:link w:val="Title"/>
    <w:rsid w:val="002B5A30"/>
    <w:rPr>
      <w:rFonts w:ascii="Arial" w:hAnsi="Arial"/>
      <w:b/>
      <w:bCs/>
      <w:kern w:val="28"/>
      <w:sz w:val="22"/>
      <w:szCs w:val="32"/>
    </w:rPr>
  </w:style>
  <w:style w:type="paragraph" w:styleId="Subtitle">
    <w:name w:val="Subtitle"/>
    <w:basedOn w:val="Normal"/>
    <w:next w:val="leka"/>
    <w:link w:val="SubtitleChar"/>
    <w:uiPriority w:val="11"/>
    <w:qFormat/>
    <w:rsid w:val="002B5A30"/>
    <w:pPr>
      <w:outlineLvl w:val="1"/>
    </w:pPr>
    <w:rPr>
      <w:rFonts w:cs="Times New Roman"/>
      <w:b/>
    </w:rPr>
  </w:style>
  <w:style w:type="character" w:customStyle="1" w:styleId="SubtitleChar">
    <w:name w:val="Subtitle Char"/>
    <w:link w:val="Subtitle"/>
    <w:uiPriority w:val="11"/>
    <w:rsid w:val="002B5A30"/>
    <w:rPr>
      <w:rFonts w:ascii="Arial" w:hAnsi="Arial"/>
      <w:b/>
      <w:sz w:val="22"/>
      <w:szCs w:val="24"/>
    </w:rPr>
  </w:style>
  <w:style w:type="character" w:styleId="CommentReference">
    <w:name w:val="annotation reference"/>
    <w:uiPriority w:val="99"/>
    <w:semiHidden/>
    <w:unhideWhenUsed/>
    <w:rsid w:val="00F7047D"/>
    <w:rPr>
      <w:sz w:val="16"/>
      <w:szCs w:val="16"/>
    </w:rPr>
  </w:style>
  <w:style w:type="paragraph" w:styleId="CommentText">
    <w:name w:val="annotation text"/>
    <w:basedOn w:val="Normal"/>
    <w:link w:val="CommentTextChar"/>
    <w:uiPriority w:val="99"/>
    <w:semiHidden/>
    <w:unhideWhenUsed/>
    <w:rsid w:val="00F7047D"/>
    <w:rPr>
      <w:rFonts w:ascii="Times New Roman" w:hAnsi="Times New Roman" w:cs="Times New Roman"/>
      <w:sz w:val="20"/>
      <w:szCs w:val="20"/>
      <w:lang w:val="en-GB" w:eastAsia="en-GB"/>
    </w:rPr>
  </w:style>
  <w:style w:type="character" w:customStyle="1" w:styleId="CommentTextChar">
    <w:name w:val="Comment Text Char"/>
    <w:link w:val="CommentText"/>
    <w:uiPriority w:val="99"/>
    <w:semiHidden/>
    <w:rsid w:val="00F7047D"/>
    <w:rPr>
      <w:lang w:val="en-GB" w:eastAsia="en-GB"/>
    </w:rPr>
  </w:style>
  <w:style w:type="paragraph" w:styleId="BalloonText">
    <w:name w:val="Balloon Text"/>
    <w:basedOn w:val="Normal"/>
    <w:link w:val="BalloonTextChar"/>
    <w:uiPriority w:val="99"/>
    <w:semiHidden/>
    <w:unhideWhenUsed/>
    <w:rsid w:val="00F7047D"/>
    <w:rPr>
      <w:rFonts w:ascii="Tahoma" w:hAnsi="Tahoma" w:cs="Tahoma"/>
      <w:sz w:val="16"/>
      <w:szCs w:val="16"/>
    </w:rPr>
  </w:style>
  <w:style w:type="character" w:customStyle="1" w:styleId="BalloonTextChar">
    <w:name w:val="Balloon Text Char"/>
    <w:link w:val="BalloonText"/>
    <w:uiPriority w:val="99"/>
    <w:semiHidden/>
    <w:rsid w:val="00F7047D"/>
    <w:rPr>
      <w:rFonts w:ascii="Tahoma" w:hAnsi="Tahoma" w:cs="Tahoma"/>
      <w:sz w:val="16"/>
      <w:szCs w:val="16"/>
    </w:rPr>
  </w:style>
  <w:style w:type="character" w:customStyle="1" w:styleId="Heading4Char">
    <w:name w:val="Heading 4 Char"/>
    <w:link w:val="Heading4"/>
    <w:uiPriority w:val="9"/>
    <w:semiHidden/>
    <w:rsid w:val="00C9201F"/>
    <w:rPr>
      <w:rFonts w:ascii="Calibri" w:eastAsia="Times New Roman" w:hAnsi="Calibri" w:cs="Times New Roman"/>
      <w:b/>
      <w:bCs/>
      <w:sz w:val="28"/>
      <w:szCs w:val="28"/>
    </w:rPr>
  </w:style>
  <w:style w:type="character" w:customStyle="1" w:styleId="Heading5Char">
    <w:name w:val="Heading 5 Char"/>
    <w:link w:val="Heading5"/>
    <w:uiPriority w:val="9"/>
    <w:semiHidden/>
    <w:rsid w:val="00C9201F"/>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C9201F"/>
    <w:rPr>
      <w:rFonts w:ascii="Calibri" w:eastAsia="Times New Roman" w:hAnsi="Calibri" w:cs="Times New Roman"/>
      <w:b/>
      <w:bCs/>
      <w:sz w:val="22"/>
      <w:szCs w:val="22"/>
    </w:rPr>
  </w:style>
  <w:style w:type="character" w:customStyle="1" w:styleId="Heading7Char">
    <w:name w:val="Heading 7 Char"/>
    <w:link w:val="Heading7"/>
    <w:uiPriority w:val="9"/>
    <w:semiHidden/>
    <w:rsid w:val="00C9201F"/>
    <w:rPr>
      <w:rFonts w:ascii="Calibri" w:eastAsia="Times New Roman" w:hAnsi="Calibri" w:cs="Times New Roman"/>
      <w:sz w:val="24"/>
      <w:szCs w:val="24"/>
    </w:rPr>
  </w:style>
  <w:style w:type="character" w:customStyle="1" w:styleId="Heading8Char">
    <w:name w:val="Heading 8 Char"/>
    <w:link w:val="Heading8"/>
    <w:uiPriority w:val="9"/>
    <w:semiHidden/>
    <w:rsid w:val="00C9201F"/>
    <w:rPr>
      <w:rFonts w:ascii="Calibri" w:eastAsia="Times New Roman" w:hAnsi="Calibri" w:cs="Times New Roman"/>
      <w:i/>
      <w:iCs/>
      <w:sz w:val="24"/>
      <w:szCs w:val="24"/>
    </w:rPr>
  </w:style>
  <w:style w:type="character" w:customStyle="1" w:styleId="Heading9Char">
    <w:name w:val="Heading 9 Char"/>
    <w:link w:val="Heading9"/>
    <w:uiPriority w:val="9"/>
    <w:semiHidden/>
    <w:rsid w:val="00C9201F"/>
    <w:rPr>
      <w:rFonts w:ascii="Cambria" w:eastAsia="Times New Roman" w:hAnsi="Cambria" w:cs="Times New Roman"/>
      <w:sz w:val="22"/>
      <w:szCs w:val="22"/>
    </w:rPr>
  </w:style>
  <w:style w:type="paragraph" w:styleId="TOCHeading">
    <w:name w:val="TOC Heading"/>
    <w:basedOn w:val="Heading1"/>
    <w:next w:val="Normal"/>
    <w:uiPriority w:val="39"/>
    <w:semiHidden/>
    <w:unhideWhenUsed/>
    <w:qFormat/>
    <w:rsid w:val="002B5A43"/>
    <w:pPr>
      <w:keepLines/>
      <w:numPr>
        <w:numId w:val="0"/>
      </w:numPr>
      <w:tabs>
        <w:tab w:val="clear" w:pos="1870"/>
        <w:tab w:val="clear" w:pos="2992"/>
        <w:tab w:val="clear" w:pos="6358"/>
        <w:tab w:val="clear" w:pos="8505"/>
        <w:tab w:val="clear" w:pos="11340"/>
      </w:tabs>
      <w:spacing w:before="480" w:line="276" w:lineRule="auto"/>
      <w:outlineLvl w:val="9"/>
    </w:pPr>
    <w:rPr>
      <w:rFonts w:ascii="Cambria" w:hAnsi="Cambria" w:cs="Times New Roman"/>
      <w:bCs/>
      <w:color w:val="365F91"/>
      <w:sz w:val="28"/>
      <w:szCs w:val="28"/>
    </w:rPr>
  </w:style>
  <w:style w:type="paragraph" w:styleId="TOC1">
    <w:name w:val="toc 1"/>
    <w:basedOn w:val="Normal"/>
    <w:next w:val="Normal"/>
    <w:autoRedefine/>
    <w:uiPriority w:val="39"/>
    <w:unhideWhenUsed/>
    <w:rsid w:val="002B5A43"/>
  </w:style>
  <w:style w:type="paragraph" w:styleId="TOC2">
    <w:name w:val="toc 2"/>
    <w:basedOn w:val="Normal"/>
    <w:next w:val="Normal"/>
    <w:autoRedefine/>
    <w:uiPriority w:val="39"/>
    <w:unhideWhenUsed/>
    <w:rsid w:val="002B5A43"/>
    <w:pPr>
      <w:ind w:left="220"/>
    </w:pPr>
  </w:style>
  <w:style w:type="paragraph" w:styleId="TOC3">
    <w:name w:val="toc 3"/>
    <w:basedOn w:val="Normal"/>
    <w:next w:val="Normal"/>
    <w:autoRedefine/>
    <w:uiPriority w:val="39"/>
    <w:unhideWhenUsed/>
    <w:rsid w:val="002B5A43"/>
    <w:pPr>
      <w:ind w:left="440"/>
    </w:pPr>
  </w:style>
  <w:style w:type="character" w:customStyle="1" w:styleId="HeaderChar">
    <w:name w:val="Header Char"/>
    <w:link w:val="Header"/>
    <w:uiPriority w:val="99"/>
    <w:rsid w:val="002B5A43"/>
    <w:rPr>
      <w:rFonts w:ascii="Arial" w:hAnsi="Arial" w:cs="Arial"/>
      <w:sz w:val="22"/>
      <w:szCs w:val="24"/>
    </w:rPr>
  </w:style>
  <w:style w:type="character" w:styleId="Strong">
    <w:name w:val="Strong"/>
    <w:uiPriority w:val="22"/>
    <w:qFormat/>
    <w:rsid w:val="004C753D"/>
    <w:rPr>
      <w:b/>
      <w:bCs/>
    </w:rPr>
  </w:style>
  <w:style w:type="paragraph" w:styleId="ListParagraph">
    <w:name w:val="List Paragraph"/>
    <w:basedOn w:val="Normal"/>
    <w:uiPriority w:val="34"/>
    <w:qFormat/>
    <w:rsid w:val="004C753D"/>
    <w:pPr>
      <w:ind w:left="720"/>
      <w:contextualSpacing/>
    </w:pPr>
    <w:rPr>
      <w:rFonts w:ascii="Times New Roman" w:hAnsi="Times New Roman" w:cs="Times New Roman"/>
      <w:sz w:val="24"/>
      <w:lang w:val="en-GB" w:eastAsia="en-GB"/>
    </w:rPr>
  </w:style>
  <w:style w:type="character" w:customStyle="1" w:styleId="textexposedshow">
    <w:name w:val="text_exposed_show"/>
    <w:rsid w:val="00A12565"/>
  </w:style>
  <w:style w:type="character" w:styleId="Emphasis">
    <w:name w:val="Emphasis"/>
    <w:uiPriority w:val="20"/>
    <w:qFormat/>
    <w:rsid w:val="00C62A06"/>
    <w:rPr>
      <w:i/>
      <w:iCs/>
    </w:rPr>
  </w:style>
  <w:style w:type="character" w:customStyle="1" w:styleId="apple-converted-space">
    <w:name w:val="apple-converted-space"/>
    <w:rsid w:val="00C62A06"/>
  </w:style>
  <w:style w:type="table" w:styleId="TableGrid">
    <w:name w:val="Table Grid"/>
    <w:basedOn w:val="TableNormal"/>
    <w:uiPriority w:val="39"/>
    <w:rsid w:val="007A5A51"/>
    <w:rPr>
      <w:rFonts w:ascii="Aptos" w:eastAsia="Aptos" w:hAnsi="Aptos" w:cs="Arial"/>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76A0B"/>
    <w:rPr>
      <w:rFonts w:ascii="Aptos" w:eastAsia="Aptos" w:hAnsi="Aptos" w:cs="Arial"/>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F14E29"/>
    <w:rPr>
      <w:rFonts w:ascii="Aptos" w:eastAsia="Aptos" w:hAnsi="Aptos" w:cs="Arial"/>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20954"/>
    <w:rPr>
      <w:rFonts w:ascii="Aptos" w:eastAsia="Aptos" w:hAnsi="Aptos" w:cs="Arial"/>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7431A"/>
    <w:rPr>
      <w:rFonts w:ascii="Aptos" w:eastAsia="Aptos" w:hAnsi="Aptos" w:cs="Arial"/>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2571D3"/>
    <w:rPr>
      <w:rFonts w:ascii="Arial" w:hAnsi="Arial" w:cs="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webSettings" Target="webSettings.xml"/><Relationship Id="rId1" Type="http://schemas.openxmlformats.org/officeDocument/2006/relationships/settings" Target="settings.xml"/><Relationship Id="rId6" Type="http://schemas.openxmlformats.org/officeDocument/2006/relationships/theme" Target="theme/theme1.xml"/><Relationship Id="rId11" Type="http://schemas.openxmlformats.org/officeDocument/2006/relationships/customXml" Target="../customXml/item3.xml"/><Relationship Id="rId5" Type="http://schemas.openxmlformats.org/officeDocument/2006/relationships/footer" Target="footer1.xml"/><Relationship Id="rId10" Type="http://schemas.openxmlformats.org/officeDocument/2006/relationships/customXml" Target="../customXml/item2.xml"/><Relationship Id="rId4" Type="http://schemas.openxmlformats.org/officeDocument/2006/relationships/header" Target="header1.xml"/><Relationship Id="rId9" Type="http://schemas.openxmlformats.org/officeDocument/2006/relationships/customXml" Target="../customXml/item1.xml"/></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470978E405D94A85B37A9897C8B9E1" ma:contentTypeVersion="8" ma:contentTypeDescription="Create a new document." ma:contentTypeScope="" ma:versionID="d414830fa99c82eb4ecb3d2631e4b463">
  <xsd:schema xmlns:xsd="http://www.w3.org/2001/XMLSchema" xmlns:xs="http://www.w3.org/2001/XMLSchema" xmlns:p="http://schemas.microsoft.com/office/2006/metadata/properties" xmlns:ns2="f3fe1be9-4b5a-442a-8ec9-677bcf13008a" targetNamespace="http://schemas.microsoft.com/office/2006/metadata/properties" ma:root="true" ma:fieldsID="05635774448c50d28b2d6fb1d76be93b" ns2:_="">
    <xsd:import namespace="f3fe1be9-4b5a-442a-8ec9-677bcf1300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fe1be9-4b5a-442a-8ec9-677bcf1300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6D5201-4EEC-451E-87A7-4901BE6FF962}"/>
</file>

<file path=customXml/itemProps2.xml><?xml version="1.0" encoding="utf-8"?>
<ds:datastoreItem xmlns:ds="http://schemas.openxmlformats.org/officeDocument/2006/customXml" ds:itemID="{82B00BD4-2BD6-41F1-BFF6-EAD944C10A16}"/>
</file>

<file path=customXml/itemProps3.xml><?xml version="1.0" encoding="utf-8"?>
<ds:datastoreItem xmlns:ds="http://schemas.openxmlformats.org/officeDocument/2006/customXml" ds:itemID="{EA09664E-28C9-423F-87CB-8F28D2CBC29E}"/>
</file>

<file path=docProps/app.xml><?xml version="1.0" encoding="utf-8"?>
<Properties xmlns="http://schemas.openxmlformats.org/officeDocument/2006/extended-properties" xmlns:vt="http://schemas.openxmlformats.org/officeDocument/2006/docPropsVTypes">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0x010100DE470978E405D94A85B37A9897C8B9E1</vt:lpwstr>
  </property>
</Properties>
</file>